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624"/>
        <w:gridCol w:w="624"/>
        <w:gridCol w:w="624"/>
        <w:gridCol w:w="624"/>
        <w:gridCol w:w="3399"/>
      </w:tblGrid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Head"/>
              <w:rPr>
                <w:rtl/>
              </w:rPr>
            </w:pPr>
            <w:r w:rsidRPr="00526B53">
              <w:rPr>
                <w:rtl/>
              </w:rPr>
              <w:t>פרק ט': בנקאות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  <w:r w:rsidRPr="00526B53">
              <w:rPr>
                <w:rtl/>
              </w:rPr>
              <w:t>תיקון חוק הבנקאות (רישוי)</w:t>
            </w: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  <w:r w:rsidRPr="00526B53">
              <w:rPr>
                <w:rtl/>
              </w:rPr>
              <w:t>341.</w:t>
            </w: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 xml:space="preserve">בחוק הבנקאות (רישוי), </w:t>
            </w:r>
            <w:proofErr w:type="spellStart"/>
            <w:r w:rsidRPr="00526B53">
              <w:rPr>
                <w:rtl/>
              </w:rPr>
              <w:t>התשמ"א</w:t>
            </w:r>
            <w:proofErr w:type="spellEnd"/>
            <w:r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1981‏</w:t>
            </w:r>
            <w:r>
              <w:rPr>
                <w:rStyle w:val="a7"/>
                <w:rtl/>
              </w:rPr>
              <w:footnoteReference w:id="1"/>
            </w:r>
            <w:r w:rsidRPr="00526B5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–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(1)</w:t>
            </w:r>
            <w:r w:rsidRPr="00526B53">
              <w:rPr>
                <w:rtl/>
              </w:rPr>
              <w:tab/>
              <w:t xml:space="preserve">בסעיף 1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ab/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19" w:type="dxa"/>
            <w:gridSpan w:val="6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(א)</w:t>
            </w:r>
            <w:r w:rsidRPr="00526B53">
              <w:rPr>
                <w:rtl/>
              </w:rPr>
              <w:tab/>
              <w:t xml:space="preserve">בהגדרה "התחייבות </w:t>
            </w:r>
            <w:proofErr w:type="spellStart"/>
            <w:r w:rsidRPr="00526B53">
              <w:rPr>
                <w:rtl/>
              </w:rPr>
              <w:t>חיתומית</w:t>
            </w:r>
            <w:proofErr w:type="spellEnd"/>
            <w:r w:rsidRPr="00526B53">
              <w:rPr>
                <w:rtl/>
              </w:rPr>
              <w:t xml:space="preserve">", במקום "בחוק ניירות ערך, </w:t>
            </w:r>
            <w:proofErr w:type="spellStart"/>
            <w:r w:rsidRPr="00526B53">
              <w:rPr>
                <w:rtl/>
              </w:rPr>
              <w:t>התשכ"ח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1968" יבוא "בחוק ניירות ערך";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19" w:type="dxa"/>
            <w:gridSpan w:val="6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(ב)</w:t>
            </w:r>
            <w:r w:rsidRPr="00526B53">
              <w:rPr>
                <w:rtl/>
              </w:rPr>
              <w:tab/>
              <w:t>אחרי ההגדרה "חוק הסדרת העיסוק בייעוץ השקעות" יבוא: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895" w:type="dxa"/>
            <w:gridSpan w:val="5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FD4ACF" w:rsidRDefault="00526B53" w:rsidP="00FD4ACF">
            <w:pPr>
              <w:pStyle w:val="TableBlockOutdent"/>
              <w:rPr>
                <w:rtl/>
              </w:rPr>
            </w:pPr>
            <w:r w:rsidRPr="00FD4ACF">
              <w:rPr>
                <w:rtl/>
              </w:rPr>
              <w:t xml:space="preserve">""חוק ניירות ערך" </w:t>
            </w:r>
            <w:r w:rsidR="00FD4ACF" w:rsidRPr="00FD4ACF">
              <w:rPr>
                <w:rFonts w:hint="cs"/>
                <w:rtl/>
              </w:rPr>
              <w:t>–</w:t>
            </w:r>
            <w:r w:rsidRPr="00FD4ACF">
              <w:rPr>
                <w:rtl/>
              </w:rPr>
              <w:t xml:space="preserve"> חוק ניירות ערך, </w:t>
            </w:r>
            <w:proofErr w:type="spellStart"/>
            <w:r w:rsidRPr="00FD4ACF">
              <w:rPr>
                <w:rtl/>
              </w:rPr>
              <w:t>התשכ"ח</w:t>
            </w:r>
            <w:proofErr w:type="spellEnd"/>
            <w:r w:rsidR="00FD4ACF" w:rsidRPr="00FD4ACF">
              <w:rPr>
                <w:rFonts w:hint="cs"/>
                <w:rtl/>
              </w:rPr>
              <w:t>–</w:t>
            </w:r>
            <w:r w:rsidRPr="00FD4ACF">
              <w:rPr>
                <w:rtl/>
              </w:rPr>
              <w:t>1968‏</w:t>
            </w:r>
            <w:r w:rsidR="00FD4ACF" w:rsidRPr="00FD4ACF">
              <w:rPr>
                <w:szCs w:val="20"/>
                <w:rtl/>
              </w:rPr>
              <w:footnoteReference w:id="2"/>
            </w:r>
            <w:r w:rsidRPr="00FD4ACF">
              <w:rPr>
                <w:rtl/>
              </w:rPr>
              <w:t>;";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(2)</w:t>
            </w:r>
            <w:r w:rsidRPr="00526B53">
              <w:rPr>
                <w:rtl/>
              </w:rPr>
              <w:tab/>
              <w:t xml:space="preserve">בסעיף 21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19" w:type="dxa"/>
            <w:gridSpan w:val="6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(א)</w:t>
            </w:r>
            <w:r w:rsidRPr="00526B53">
              <w:rPr>
                <w:rtl/>
              </w:rPr>
              <w:tab/>
              <w:t xml:space="preserve">בסעיף קטן (א)(2), במקום "לחוק ניירות ערך, </w:t>
            </w:r>
            <w:proofErr w:type="spellStart"/>
            <w:r w:rsidRPr="00526B53">
              <w:rPr>
                <w:rtl/>
              </w:rPr>
              <w:t>התשכ"ח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1968" יבוא "לחוק ניירות ערך";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19" w:type="dxa"/>
            <w:gridSpan w:val="6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(ב)</w:t>
            </w:r>
            <w:r w:rsidRPr="00526B53">
              <w:rPr>
                <w:rtl/>
              </w:rPr>
              <w:tab/>
              <w:t xml:space="preserve">בסעיף קטן (ב) </w:t>
            </w:r>
            <w:r w:rsidR="00FD4ACF">
              <w:rPr>
                <w:rFonts w:hint="cs"/>
                <w:rtl/>
              </w:rPr>
              <w:t>–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895" w:type="dxa"/>
            <w:gridSpan w:val="5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(1)</w:t>
            </w:r>
            <w:r w:rsidRPr="00526B53">
              <w:rPr>
                <w:rtl/>
              </w:rPr>
              <w:tab/>
              <w:t>במקום ההגדרה "ניירות ערך" יבוא: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FD4ACF" w:rsidRDefault="00526B53" w:rsidP="00FD4ACF">
            <w:pPr>
              <w:pStyle w:val="TableBlockOutdent"/>
              <w:rPr>
                <w:rtl/>
              </w:rPr>
            </w:pPr>
            <w:r w:rsidRPr="00FD4ACF">
              <w:rPr>
                <w:rtl/>
              </w:rPr>
              <w:t xml:space="preserve">""כתב אופציה" </w:t>
            </w:r>
            <w:r w:rsidR="00FD4ACF">
              <w:rPr>
                <w:rFonts w:hint="cs"/>
                <w:rtl/>
              </w:rPr>
              <w:t>–</w:t>
            </w:r>
            <w:r w:rsidRPr="00FD4ACF">
              <w:rPr>
                <w:rtl/>
              </w:rPr>
              <w:t xml:space="preserve"> כהגדרתו בסעיף 35טז3 לחוק ניירות ערך;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FD4ACF" w:rsidRDefault="00526B53" w:rsidP="00FD4ACF">
            <w:pPr>
              <w:pStyle w:val="TableBlockOutdent"/>
              <w:rPr>
                <w:rtl/>
              </w:rPr>
            </w:pPr>
            <w:r w:rsidRPr="00FD4ACF">
              <w:rPr>
                <w:rtl/>
              </w:rPr>
              <w:t xml:space="preserve">"ניירות ערך" </w:t>
            </w:r>
            <w:r w:rsidR="00FD4ACF">
              <w:rPr>
                <w:rFonts w:hint="cs"/>
                <w:rtl/>
              </w:rPr>
              <w:t>–</w:t>
            </w:r>
            <w:r w:rsidRPr="00FD4ACF">
              <w:rPr>
                <w:rtl/>
              </w:rPr>
              <w:t xml:space="preserve"> למעט מניות וכתבי אופציה המקנים זכות לרכוש מניות;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FD4ACF" w:rsidRDefault="00526B53" w:rsidP="00FD4ACF">
            <w:pPr>
              <w:pStyle w:val="TableBlockOutdent"/>
              <w:rPr>
                <w:rtl/>
              </w:rPr>
            </w:pPr>
            <w:r w:rsidRPr="00FD4ACF">
              <w:rPr>
                <w:rtl/>
              </w:rPr>
              <w:t xml:space="preserve">"תעודות התחייבות" </w:t>
            </w:r>
            <w:r w:rsidR="00FD4ACF">
              <w:rPr>
                <w:rFonts w:hint="cs"/>
                <w:rtl/>
              </w:rPr>
              <w:t>–</w:t>
            </w:r>
            <w:r w:rsidRPr="00FD4ACF">
              <w:rPr>
                <w:rtl/>
              </w:rPr>
              <w:t xml:space="preserve"> כהגדרתן בסעיף 35א לחוק ניירות ערך, ובלבד שהן חייבות בתשקיף לפי סעיף 15 לחוק האמור;";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895" w:type="dxa"/>
            <w:gridSpan w:val="5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(2)</w:t>
            </w:r>
            <w:r w:rsidRPr="00526B53">
              <w:rPr>
                <w:rtl/>
              </w:rPr>
              <w:tab/>
              <w:t xml:space="preserve">בהגדרה "מתן אשראי"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(א)</w:t>
            </w:r>
            <w:r w:rsidRPr="00526B53">
              <w:rPr>
                <w:rtl/>
              </w:rPr>
              <w:tab/>
              <w:t xml:space="preserve">בפסקה (6)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(1)</w:t>
            </w:r>
            <w:r w:rsidRPr="00526B53">
              <w:rPr>
                <w:rtl/>
              </w:rPr>
              <w:tab/>
              <w:t xml:space="preserve">ברישה, במקום הקטע החל במילים "באגרות חוב" עד המילים "(להלן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חוק ניירות ערך)" יבוא "בתעודות התחייבות";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(2)</w:t>
            </w:r>
            <w:r w:rsidRPr="00526B53">
              <w:rPr>
                <w:rtl/>
              </w:rPr>
              <w:tab/>
              <w:t>בפסקת משנה (א), ברישה, במקום "ובאיגרות החוב" יבוא "ובתעודות ההתחייבות";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(3)</w:t>
            </w:r>
            <w:r w:rsidRPr="00526B53">
              <w:rPr>
                <w:rtl/>
              </w:rPr>
              <w:tab/>
              <w:t>בפסקת משנה (ב), במקום "באיגרות חוב" יבוא "בתעודות התחייבות";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(4)</w:t>
            </w:r>
            <w:r w:rsidRPr="00526B53">
              <w:rPr>
                <w:rtl/>
              </w:rPr>
              <w:tab/>
              <w:t>בפסקת משנה (ה), במקום "איגרות החוב" יבוא "תעודות ההתחייבות";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(ב)</w:t>
            </w:r>
            <w:r w:rsidRPr="00526B53">
              <w:rPr>
                <w:rtl/>
              </w:rPr>
              <w:tab/>
              <w:t>בפסקה (7), במקום הקטע החל במילים "באיגרות חוב שהונפקו" עד המילים</w:t>
            </w:r>
            <w:r w:rsidR="00735EF7">
              <w:rPr>
                <w:rtl/>
              </w:rPr>
              <w:t xml:space="preserve"> </w:t>
            </w:r>
            <w:r w:rsidRPr="00526B53">
              <w:rPr>
                <w:rtl/>
              </w:rPr>
              <w:t xml:space="preserve">"לחוק ניירות ערך, </w:t>
            </w:r>
            <w:proofErr w:type="spellStart"/>
            <w:r w:rsidRPr="00526B53">
              <w:rPr>
                <w:rtl/>
              </w:rPr>
              <w:t>התשכ"ח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1968" יבוא "בתעודות התחייבות" ובמקום "איגרות החוב" יבוא "תעודות ההתחייבות";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271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(ג)</w:t>
            </w:r>
            <w:r w:rsidRPr="00526B53">
              <w:rPr>
                <w:rtl/>
              </w:rPr>
              <w:tab/>
              <w:t>אחרי פסקה (7) יבוא: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"(8) מתן אשראי בידי תאגיד העוסק במתן אשראי, שמקורו, בין השאר, בתעודות התחייבות, אם נתקיימו כל אלה: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023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(א)</w:t>
            </w:r>
            <w:r w:rsidRPr="00526B53">
              <w:rPr>
                <w:rtl/>
              </w:rPr>
              <w:tab/>
              <w:t xml:space="preserve">סך הערך הנקוב של תעודות ההתחייבות שהנפיק התאגיד לציבור לא יעלה על שני מיליארד וחצי שקלים חדשים (בפסקת משנה זו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התקרה); בחישוב התקרה לא יבוא בחשבון הערך הנקוב של תעודות התחייבות שנפרעו, ואם נפרעו בחלקן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החלק היחסי שנפרע; שר האוצר רשאי לקבוע תקרה גבוהה יותר שלא תעלה על חמישה מיליארד שקלים חדשים, וזאת לגבי כלל תעודות ההתחייבות או לגבי סוגים מסוימים של תעודות התחייבות;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023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(ב)</w:t>
            </w:r>
            <w:r w:rsidRPr="00526B53">
              <w:rPr>
                <w:rtl/>
              </w:rPr>
              <w:tab/>
              <w:t xml:space="preserve">מקבל האשראי הוא יחיד או תאגיד, ואם הוא תאגיד </w:t>
            </w:r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 xml:space="preserve"> הכנסתו השנתית</w:t>
            </w:r>
            <w:r w:rsidR="00735EF7">
              <w:rPr>
                <w:rtl/>
              </w:rPr>
              <w:t xml:space="preserve"> </w:t>
            </w:r>
            <w:r w:rsidRPr="00526B53">
              <w:rPr>
                <w:rtl/>
              </w:rPr>
              <w:t>בשנה שקדמה למועד מתן האשראי, לא עלתה על 400 מיליון שקלים חדשים או סכום אחר שקבע שר האוצר;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023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(ג)</w:t>
            </w:r>
            <w:r w:rsidRPr="00526B53">
              <w:rPr>
                <w:rtl/>
              </w:rPr>
              <w:tab/>
              <w:t xml:space="preserve">האשראי הניתן אינו אשראי למטרות דיור שפירעונו מובטח על ידי אחד מאלה: 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339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(1)</w:t>
            </w:r>
            <w:r w:rsidRPr="00526B53">
              <w:rPr>
                <w:rtl/>
              </w:rPr>
              <w:tab/>
              <w:t>רישום משכנתה;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339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(2)</w:t>
            </w:r>
            <w:r w:rsidRPr="00526B53">
              <w:rPr>
                <w:rtl/>
              </w:rPr>
              <w:tab/>
              <w:t>התחייבות לרישום משכנתה שבשלה נרשמת הערת אזהרה;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339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(3)</w:t>
            </w:r>
            <w:r w:rsidRPr="00526B53">
              <w:rPr>
                <w:rtl/>
              </w:rPr>
              <w:tab/>
            </w:r>
            <w:proofErr w:type="spellStart"/>
            <w:r w:rsidRPr="00526B53">
              <w:rPr>
                <w:rtl/>
              </w:rPr>
              <w:t>מישכון</w:t>
            </w:r>
            <w:proofErr w:type="spellEnd"/>
            <w:r w:rsidRPr="00526B53">
              <w:rPr>
                <w:rtl/>
              </w:rPr>
              <w:t xml:space="preserve"> זכויות לגבי מקרקעין, הרשום לפי חוק המשכון, </w:t>
            </w:r>
            <w:proofErr w:type="spellStart"/>
            <w:r w:rsidRPr="00526B53">
              <w:rPr>
                <w:rtl/>
              </w:rPr>
              <w:t>התשכ"ז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1967‏</w:t>
            </w:r>
            <w:r w:rsidR="00FD4ACF">
              <w:rPr>
                <w:rStyle w:val="a7"/>
                <w:rtl/>
              </w:rPr>
              <w:footnoteReference w:id="3"/>
            </w:r>
            <w:r w:rsidRPr="00526B53">
              <w:rPr>
                <w:rtl/>
              </w:rPr>
              <w:t>.";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(3)</w:t>
            </w:r>
            <w:r w:rsidRPr="00526B53">
              <w:rPr>
                <w:rtl/>
              </w:rPr>
              <w:tab/>
              <w:t xml:space="preserve">בסעיף 24(ב), במקום "לחוק ניירות ערך, </w:t>
            </w:r>
            <w:proofErr w:type="spellStart"/>
            <w:r w:rsidRPr="00526B53">
              <w:rPr>
                <w:rtl/>
              </w:rPr>
              <w:t>התשכ"ח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1968" יבוא "לחוק ניירות ערך";</w:t>
            </w:r>
          </w:p>
        </w:tc>
      </w:tr>
      <w:tr w:rsidR="00526B53" w:rsidRPr="00526B53" w:rsidTr="00526B53">
        <w:trPr>
          <w:cantSplit/>
        </w:trPr>
        <w:tc>
          <w:tcPr>
            <w:tcW w:w="1871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526B53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3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26B53" w:rsidRPr="00526B53" w:rsidRDefault="00526B53" w:rsidP="00FD4ACF">
            <w:pPr>
              <w:pStyle w:val="TableBlock"/>
              <w:rPr>
                <w:rtl/>
              </w:rPr>
            </w:pPr>
            <w:r w:rsidRPr="00526B53">
              <w:rPr>
                <w:rtl/>
              </w:rPr>
              <w:t>(4)</w:t>
            </w:r>
            <w:r w:rsidRPr="00526B53">
              <w:rPr>
                <w:rtl/>
              </w:rPr>
              <w:tab/>
              <w:t xml:space="preserve">בסעיף 27א, בהגדרה "מניות", במקום "בחוק ניירות ערך, </w:t>
            </w:r>
            <w:proofErr w:type="spellStart"/>
            <w:r w:rsidRPr="00526B53">
              <w:rPr>
                <w:rtl/>
              </w:rPr>
              <w:t>התשכ"ח</w:t>
            </w:r>
            <w:proofErr w:type="spellEnd"/>
            <w:r w:rsidR="00FD4ACF">
              <w:rPr>
                <w:rFonts w:hint="cs"/>
                <w:rtl/>
              </w:rPr>
              <w:t>–</w:t>
            </w:r>
            <w:r w:rsidRPr="00526B53">
              <w:rPr>
                <w:rtl/>
              </w:rPr>
              <w:t>1968" יבוא "בחוק ניירות ערך".</w:t>
            </w:r>
          </w:p>
        </w:tc>
      </w:tr>
    </w:tbl>
    <w:p w:rsidR="00E315A3" w:rsidRDefault="00E315A3"/>
    <w:sectPr w:rsidR="00E315A3" w:rsidSect="00CF62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65" w:rsidRDefault="00EF3265" w:rsidP="00526B53">
      <w:pPr>
        <w:spacing w:before="0" w:line="240" w:lineRule="auto"/>
      </w:pPr>
      <w:r>
        <w:separator/>
      </w:r>
    </w:p>
  </w:endnote>
  <w:endnote w:type="continuationSeparator" w:id="0">
    <w:p w:rsidR="00EF3265" w:rsidRDefault="00EF3265" w:rsidP="00526B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65" w:rsidRDefault="00EF3265" w:rsidP="00526B53">
      <w:pPr>
        <w:spacing w:before="0" w:line="240" w:lineRule="auto"/>
      </w:pPr>
      <w:r>
        <w:separator/>
      </w:r>
    </w:p>
  </w:footnote>
  <w:footnote w:type="continuationSeparator" w:id="0">
    <w:p w:rsidR="00EF3265" w:rsidRDefault="00EF3265" w:rsidP="00526B53">
      <w:pPr>
        <w:spacing w:before="0" w:line="240" w:lineRule="auto"/>
      </w:pPr>
      <w:r>
        <w:continuationSeparator/>
      </w:r>
    </w:p>
  </w:footnote>
  <w:footnote w:id="1">
    <w:p w:rsidR="00526B53" w:rsidRDefault="00526B53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התשמ"א</w:t>
      </w:r>
      <w:proofErr w:type="spellEnd"/>
      <w:r>
        <w:rPr>
          <w:rFonts w:hint="cs"/>
          <w:rtl/>
        </w:rPr>
        <w:t xml:space="preserve">, עמ' 232; </w:t>
      </w:r>
      <w:proofErr w:type="spellStart"/>
      <w:r>
        <w:rPr>
          <w:rFonts w:hint="cs"/>
          <w:rtl/>
        </w:rPr>
        <w:t>התשע"ד</w:t>
      </w:r>
      <w:proofErr w:type="spellEnd"/>
      <w:r>
        <w:rPr>
          <w:rFonts w:hint="cs"/>
          <w:rtl/>
        </w:rPr>
        <w:t>, עמ' 121.</w:t>
      </w:r>
    </w:p>
  </w:footnote>
  <w:footnote w:id="2">
    <w:p w:rsidR="00FD4ACF" w:rsidRDefault="00FD4ACF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התשכ"ח</w:t>
      </w:r>
      <w:proofErr w:type="spellEnd"/>
      <w:r>
        <w:rPr>
          <w:rFonts w:hint="cs"/>
          <w:rtl/>
        </w:rPr>
        <w:t>, עמ' 234.</w:t>
      </w:r>
    </w:p>
  </w:footnote>
  <w:footnote w:id="3">
    <w:p w:rsidR="00FD4ACF" w:rsidRDefault="00FD4ACF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התשכ"ז</w:t>
      </w:r>
      <w:proofErr w:type="spellEnd"/>
      <w:r>
        <w:rPr>
          <w:rFonts w:hint="cs"/>
          <w:rtl/>
        </w:rPr>
        <w:t>, עמ' 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53"/>
    <w:rsid w:val="001C4EB9"/>
    <w:rsid w:val="00526B53"/>
    <w:rsid w:val="00735EF7"/>
    <w:rsid w:val="008B08DD"/>
    <w:rsid w:val="00CF6213"/>
    <w:rsid w:val="00E315A3"/>
    <w:rsid w:val="00EF3265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06BC4-2681-4716-B918-F60AF957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MitparsemetBaze">
    <w:name w:val="Head MitparsemetBaze"/>
    <w:basedOn w:val="a"/>
    <w:rsid w:val="00526B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526B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526B5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526B53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526B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Text">
    <w:name w:val="Table Text"/>
    <w:basedOn w:val="a"/>
    <w:rsid w:val="00526B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526B53"/>
  </w:style>
  <w:style w:type="paragraph" w:customStyle="1" w:styleId="TableBlock">
    <w:name w:val="Table Block"/>
    <w:basedOn w:val="TableText"/>
    <w:rsid w:val="00526B53"/>
    <w:pPr>
      <w:ind w:right="0"/>
      <w:jc w:val="both"/>
    </w:pPr>
  </w:style>
  <w:style w:type="paragraph" w:customStyle="1" w:styleId="TableHead">
    <w:name w:val="Table Head"/>
    <w:basedOn w:val="TableText"/>
    <w:rsid w:val="00526B53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526B53"/>
  </w:style>
  <w:style w:type="paragraph" w:customStyle="1" w:styleId="Hesber">
    <w:name w:val="Hesber"/>
    <w:basedOn w:val="a"/>
    <w:rsid w:val="00526B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526B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526B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7">
    <w:name w:val="footnote reference"/>
    <w:aliases w:val="Footnote Reference"/>
    <w:basedOn w:val="a0"/>
    <w:semiHidden/>
    <w:rsid w:val="00526B53"/>
    <w:rPr>
      <w:vertAlign w:val="superscript"/>
    </w:rPr>
  </w:style>
  <w:style w:type="paragraph" w:customStyle="1" w:styleId="HesberHeading">
    <w:name w:val="Hesber Heading"/>
    <w:basedOn w:val="Hesber"/>
    <w:rsid w:val="00526B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526B53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526B53"/>
    <w:pPr>
      <w:tabs>
        <w:tab w:val="left" w:pos="680"/>
        <w:tab w:val="left" w:pos="1020"/>
      </w:tabs>
      <w:ind w:firstLine="0"/>
    </w:pPr>
  </w:style>
  <w:style w:type="character" w:styleId="a8">
    <w:name w:val="endnote reference"/>
    <w:basedOn w:val="a0"/>
    <w:semiHidden/>
    <w:rsid w:val="00526B53"/>
    <w:rPr>
      <w:vertAlign w:val="superscript"/>
    </w:rPr>
  </w:style>
  <w:style w:type="paragraph" w:customStyle="1" w:styleId="TableBlockOutdent">
    <w:name w:val="Table BlockOutdent"/>
    <w:basedOn w:val="TableBlock"/>
    <w:rsid w:val="00526B53"/>
    <w:pPr>
      <w:ind w:left="624" w:hanging="624"/>
    </w:pPr>
  </w:style>
  <w:style w:type="paragraph" w:styleId="a9">
    <w:name w:val="header"/>
    <w:basedOn w:val="a"/>
    <w:link w:val="aa"/>
    <w:rsid w:val="00526B53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526B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b">
    <w:name w:val="footer"/>
    <w:basedOn w:val="a"/>
    <w:link w:val="ac"/>
    <w:rsid w:val="00526B53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526B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HeadDivreiHesber">
    <w:name w:val="Head DivreiHesber"/>
    <w:basedOn w:val="a"/>
    <w:rsid w:val="00526B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character" w:styleId="ad">
    <w:name w:val="page number"/>
    <w:basedOn w:val="a0"/>
    <w:rsid w:val="00526B53"/>
  </w:style>
  <w:style w:type="paragraph" w:customStyle="1" w:styleId="Cover1-Reshumot">
    <w:name w:val="Cover 1-Reshumot"/>
    <w:basedOn w:val="a"/>
    <w:rsid w:val="00526B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526B53"/>
    <w:rPr>
      <w:sz w:val="36"/>
      <w:szCs w:val="52"/>
    </w:rPr>
  </w:style>
  <w:style w:type="paragraph" w:customStyle="1" w:styleId="Cover3-Haknesset">
    <w:name w:val="Cover 3-Haknesset"/>
    <w:basedOn w:val="Cover1-Reshumot"/>
    <w:rsid w:val="00526B53"/>
    <w:rPr>
      <w:b/>
      <w:bCs/>
      <w:spacing w:val="60"/>
    </w:rPr>
  </w:style>
  <w:style w:type="paragraph" w:customStyle="1" w:styleId="Cover4-Date">
    <w:name w:val="Cover 4-Date"/>
    <w:basedOn w:val="a"/>
    <w:rsid w:val="00526B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526B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תהל טהר לב</dc:creator>
  <cp:keywords/>
  <dc:description/>
  <cp:lastModifiedBy>תהל טהר לב</cp:lastModifiedBy>
  <cp:revision>3</cp:revision>
  <dcterms:created xsi:type="dcterms:W3CDTF">2015-09-06T07:51:00Z</dcterms:created>
  <dcterms:modified xsi:type="dcterms:W3CDTF">2015-09-06T08:05:00Z</dcterms:modified>
</cp:coreProperties>
</file>