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 xml:space="preserve"> </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 xml:space="preserve"> </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 xml:space="preserve"> </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הנחיה בלתי-חוקית של עיריות בדבר הדרת עובדים ערבים מבתי-ספר</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באחרונה חשף העיתונאי שי זילבר ברשת ב' (18.10), כי מספר ראשי עיריות - ובהן רחובות והוד השרון - הנחו את בתי-הספר שבתחומן, שלא לאפשר לעובדים ערבים להיכנס לשטח בית-הספר במהלך יום הלימודים. בכך, סימנו את העובדים הערבים - ביניהם עובדי ניקיון ואחזקה, המועסקים במקומות אלה שנים רבות - כאיום באופן קולקטיבי. היקף התופעה נרחב, והיא מתקיימת גם בבתי-ספר בתל-אביב, בנס ציונה, ובמקומות אחרים.</w:t>
      </w:r>
      <w:r>
        <w:br/>
      </w:r>
      <w:r>
        <w:br/>
      </w:r>
      <w:r>
        <w:br/>
      </w:r>
      <w:r>
        <w:rPr>
          <w:rFonts w:ascii="Tahoma" w:hAnsi="Tahoma" w:cs="David" w:hint="cs"/>
          <w:sz w:val="24"/>
          <w:szCs w:val="24"/>
          <w:rtl/>
        </w:rPr>
        <w:t>בחסות החרדה הקיימת בציבור, מקודמים מהלכים מסוכנים של הדרה גזענית, המכתימים אוכלוסיות שלמות, פוגעים בזכויות בסיסיות, וחותרים תחת האפשרות לבנות כאן עתיד אחר. יתר על כן, ההנחיה של הרשויות המקומיות היא בלתי חוקית, ועומדת בסתירה להנחיות היועץ המשפטי לממשלה מ-1985, לחוק שוויון הזדמנויות בעבודה, ולשורה של חוקים ופסיקות האוסרים על אפליה.</w:t>
      </w:r>
      <w:r>
        <w:br/>
      </w:r>
      <w:r>
        <w:br/>
      </w:r>
      <w:r>
        <w:rPr>
          <w:rFonts w:ascii="Tahoma" w:hAnsi="Tahoma" w:cs="David" w:hint="cs"/>
          <w:sz w:val="24"/>
          <w:szCs w:val="24"/>
          <w:rtl/>
        </w:rPr>
        <w:t xml:space="preserve"> </w:t>
      </w:r>
      <w:r>
        <w:br/>
      </w:r>
      <w:r>
        <w:rPr>
          <w:rFonts w:ascii="Tahoma" w:hAnsi="Tahoma" w:cs="David" w:hint="cs"/>
          <w:sz w:val="24"/>
          <w:szCs w:val="24"/>
          <w:rtl/>
        </w:rPr>
        <w:t>על כן, אנו מציעים שוועדת הפנים תדון בהתנהלותן של הרשויות המקומיות ובהנחיות הבלתי-חוקיות שמקצתן מפרסמות.</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דב חנין</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1D5366"/>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4577F8FB-5C2E-47B6-A496-0A028A9D2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886</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שוש אזולאי</cp:lastModifiedBy>
  <cp:revision>2</cp:revision>
  <dcterms:created xsi:type="dcterms:W3CDTF">2015-11-04T08:54:00Z</dcterms:created>
  <dcterms:modified xsi:type="dcterms:W3CDTF">2015-11-04T08:54:00Z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16</vt:r8>
  </property>
  <property fmtid="{D5CDD505-2E9C-101B-9397-08002B2CF9AE}" pid="5" name="SanhedrinItemID">
    <vt:r8>569897</vt:r8>
  </property>
</Properties>
</file>