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7E716D" w:rsidRDefault="004033D8" w:rsidP="002C2E29">
      <w:pPr>
        <w:pStyle w:val="HeadHatzaotHok"/>
        <w:jc w:val="right"/>
        <w:rPr>
          <w:b w:val="0"/>
          <w:bCs w:val="0"/>
          <w:szCs w:val="20"/>
        </w:rPr>
      </w:pPr>
      <w:r w:rsidRPr="007E716D">
        <w:rPr>
          <w:rFonts w:hint="cs"/>
          <w:b w:val="0"/>
          <w:bCs w:val="0"/>
          <w:szCs w:val="20"/>
          <w:rtl/>
        </w:rPr>
        <w:t xml:space="preserve">מספר פנימי: </w:t>
      </w:r>
      <w:bookmarkStart w:id="0" w:name="ItemID"/>
      <w:r w:rsidR="00502178" w:rsidRPr="007E716D">
        <w:rPr>
          <w:b w:val="0"/>
          <w:bCs w:val="0"/>
          <w:szCs w:val="20"/>
          <w:rtl/>
        </w:rPr>
        <w:t>558236</w:t>
      </w:r>
      <w:bookmarkEnd w:id="0"/>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1" w:name="KnessetNum"/>
      <w:r w:rsidR="00502178" w:rsidRPr="00502178">
        <w:rPr>
          <w:sz w:val="28"/>
          <w:szCs w:val="28"/>
          <w:rtl/>
        </w:rPr>
        <w:t>התשע-עשרה</w:t>
      </w:r>
      <w:bookmarkEnd w:id="1"/>
    </w:p>
    <w:p w:rsidR="00E13C27" w:rsidRDefault="00E13C27" w:rsidP="00E13C27">
      <w:pPr>
        <w:rPr>
          <w:rFonts w:cs="David"/>
          <w:sz w:val="26"/>
          <w:szCs w:val="26"/>
          <w:rtl/>
        </w:rPr>
      </w:pPr>
    </w:p>
    <w:p w:rsidR="00E13C27" w:rsidRPr="00EA2892" w:rsidRDefault="00502178" w:rsidP="0091204F">
      <w:pPr>
        <w:pStyle w:val="David"/>
        <w:ind w:left="2880" w:firstLine="663"/>
        <w:rPr>
          <w:b/>
          <w:bCs/>
          <w:rtl/>
        </w:rPr>
      </w:pPr>
      <w:bookmarkStart w:id="2" w:name="MKsSingleOrMulti"/>
      <w:r w:rsidRPr="00EA2892">
        <w:rPr>
          <w:rFonts w:hint="cs"/>
          <w:b/>
          <w:bCs/>
          <w:rtl/>
        </w:rPr>
        <w:t>יוזמת</w:t>
      </w:r>
      <w:r w:rsidRPr="00EA2892">
        <w:rPr>
          <w:b/>
          <w:bCs/>
          <w:rtl/>
        </w:rPr>
        <w:t xml:space="preserve">:           </w:t>
      </w:r>
      <w:r w:rsidRPr="00EA2892">
        <w:rPr>
          <w:rFonts w:hint="cs"/>
          <w:b/>
          <w:bCs/>
          <w:rtl/>
        </w:rPr>
        <w:t>חברת</w:t>
      </w:r>
      <w:r w:rsidRPr="00EA2892">
        <w:rPr>
          <w:b/>
          <w:bCs/>
          <w:rtl/>
        </w:rPr>
        <w:t xml:space="preserve"> </w:t>
      </w:r>
      <w:r w:rsidRPr="00EA2892">
        <w:rPr>
          <w:rFonts w:hint="cs"/>
          <w:b/>
          <w:bCs/>
          <w:rtl/>
        </w:rPr>
        <w:t>הכנסת</w:t>
      </w:r>
      <w:bookmarkEnd w:id="2"/>
      <w:r w:rsidR="00B35784" w:rsidRPr="00EA2892">
        <w:rPr>
          <w:b/>
          <w:bCs/>
        </w:rPr>
        <w:tab/>
      </w:r>
      <w:bookmarkStart w:id="3" w:name="MKs"/>
      <w:r w:rsidRPr="00EA2892">
        <w:rPr>
          <w:rFonts w:hint="cs"/>
          <w:b/>
          <w:bCs/>
          <w:rtl/>
        </w:rPr>
        <w:t>מירי</w:t>
      </w:r>
      <w:r w:rsidRPr="00EA2892">
        <w:rPr>
          <w:b/>
          <w:bCs/>
          <w:rtl/>
        </w:rPr>
        <w:t xml:space="preserve"> </w:t>
      </w:r>
      <w:r w:rsidRPr="00EA2892">
        <w:rPr>
          <w:rFonts w:hint="cs"/>
          <w:b/>
          <w:bCs/>
          <w:rtl/>
        </w:rPr>
        <w:t>רגב</w:t>
      </w:r>
      <w:bookmarkEnd w:id="3"/>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4" w:name="MKsSingleOrMulti1"/>
      <w:bookmarkEnd w:id="4"/>
      <w:r w:rsidR="002200A1">
        <w:rPr>
          <w:rFonts w:cs="David" w:hint="cs"/>
          <w:sz w:val="26"/>
          <w:szCs w:val="26"/>
          <w:rtl/>
        </w:rPr>
        <w:tab/>
      </w:r>
      <w:bookmarkStart w:id="5" w:name="MKs1"/>
      <w:bookmarkEnd w:id="5"/>
    </w:p>
    <w:p w:rsidR="00E13C27" w:rsidRDefault="0014195F" w:rsidP="00292712">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58098B07" wp14:editId="1B0811B0">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6" w:name="LawNum"/>
      <w:r w:rsidR="00291BD6" w:rsidRPr="00291BD6">
        <w:rPr>
          <w:rFonts w:cs="David"/>
          <w:sz w:val="26"/>
          <w:szCs w:val="26"/>
          <w:rtl/>
        </w:rPr>
        <w:t>פ/2837/19</w:t>
      </w:r>
      <w:bookmarkEnd w:id="6"/>
      <w:r w:rsidR="00E13C27">
        <w:rPr>
          <w:rFonts w:cs="David" w:hint="cs"/>
          <w:sz w:val="26"/>
          <w:szCs w:val="26"/>
          <w:rtl/>
        </w:rPr>
        <w:tab/>
      </w:r>
      <w:r w:rsidR="00E13C27">
        <w:rPr>
          <w:rFonts w:cs="David" w:hint="cs"/>
          <w:sz w:val="26"/>
          <w:szCs w:val="26"/>
          <w:rtl/>
        </w:rPr>
        <w:tab/>
      </w:r>
      <w:r w:rsidR="00E13C27">
        <w:rPr>
          <w:rFonts w:cs="David" w:hint="cs"/>
          <w:sz w:val="26"/>
          <w:szCs w:val="26"/>
          <w:rtl/>
        </w:rPr>
        <w:tab/>
      </w:r>
    </w:p>
    <w:p w:rsidR="001E307B" w:rsidRDefault="001E307B" w:rsidP="001E307B">
      <w:pPr>
        <w:spacing w:before="0"/>
        <w:ind w:firstLine="0"/>
        <w:rPr>
          <w:rFonts w:cs="Arial"/>
          <w:b/>
          <w:bCs/>
          <w:sz w:val="28"/>
          <w:szCs w:val="28"/>
          <w:rtl/>
        </w:rPr>
      </w:pPr>
    </w:p>
    <w:p w:rsidR="004D4756" w:rsidRDefault="004D4756" w:rsidP="001E307B">
      <w:pPr>
        <w:spacing w:before="0"/>
        <w:ind w:firstLine="0"/>
        <w:rPr>
          <w:b/>
          <w:bCs/>
          <w:sz w:val="28"/>
          <w:szCs w:val="28"/>
          <w:rtl/>
        </w:rPr>
      </w:pPr>
    </w:p>
    <w:p w:rsidR="001E307B" w:rsidRPr="00027EFF" w:rsidRDefault="001E307B" w:rsidP="001E307B">
      <w:pPr>
        <w:pStyle w:val="Noparagraphstyle"/>
        <w:ind w:right="-28"/>
        <w:jc w:val="center"/>
        <w:rPr>
          <w:sz w:val="26"/>
          <w:rtl/>
        </w:rPr>
      </w:pPr>
      <w:r>
        <w:rPr>
          <w:rFonts w:hint="cs"/>
          <w:b/>
          <w:bCs/>
          <w:sz w:val="26"/>
          <w:rtl/>
        </w:rPr>
        <w:t xml:space="preserve">הצעת חוק </w:t>
      </w:r>
      <w:r w:rsidRPr="00B2699B">
        <w:rPr>
          <w:b/>
          <w:bCs/>
          <w:sz w:val="26"/>
          <w:rtl/>
        </w:rPr>
        <w:t xml:space="preserve"> תאגידי</w:t>
      </w:r>
      <w:r>
        <w:rPr>
          <w:b/>
          <w:bCs/>
          <w:sz w:val="26"/>
          <w:rtl/>
        </w:rPr>
        <w:t xml:space="preserve"> מים וביוב (תיקון</w:t>
      </w:r>
      <w:r>
        <w:rPr>
          <w:rFonts w:hint="cs"/>
          <w:b/>
          <w:bCs/>
          <w:sz w:val="26"/>
          <w:rtl/>
        </w:rPr>
        <w:t xml:space="preserve"> – דחיית חובת התאגוד ברשויות המקומיות שאין להן תאגיד</w:t>
      </w:r>
      <w:r>
        <w:rPr>
          <w:b/>
          <w:bCs/>
          <w:sz w:val="26"/>
          <w:rtl/>
        </w:rPr>
        <w:t>), התשע"ה</w:t>
      </w:r>
      <w:r w:rsidRPr="00B2699B">
        <w:rPr>
          <w:b/>
          <w:bCs/>
          <w:sz w:val="26"/>
          <w:rtl/>
        </w:rPr>
        <w:t>–2014</w:t>
      </w:r>
    </w:p>
    <w:p w:rsidR="001E307B" w:rsidRDefault="001E307B" w:rsidP="001E307B">
      <w:pPr>
        <w:spacing w:before="0"/>
        <w:rPr>
          <w:sz w:val="26"/>
          <w:szCs w:val="26"/>
          <w:rtl/>
        </w:rPr>
      </w:pPr>
    </w:p>
    <w:tbl>
      <w:tblPr>
        <w:bidiVisual/>
        <w:tblW w:w="964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22"/>
      </w:tblGrid>
      <w:tr w:rsidR="001E307B" w:rsidRPr="000F52C2" w:rsidTr="000A04B5">
        <w:trPr>
          <w:cantSplit/>
        </w:trPr>
        <w:tc>
          <w:tcPr>
            <w:tcW w:w="1871" w:type="dxa"/>
            <w:tcMar>
              <w:top w:w="91" w:type="dxa"/>
              <w:left w:w="0" w:type="dxa"/>
              <w:bottom w:w="91" w:type="dxa"/>
              <w:right w:w="0" w:type="dxa"/>
            </w:tcMar>
          </w:tcPr>
          <w:p w:rsidR="001E307B" w:rsidRPr="000F52C2" w:rsidRDefault="001E307B" w:rsidP="000A04B5">
            <w:pPr>
              <w:pStyle w:val="TableBlock"/>
              <w:rPr>
                <w:rtl/>
              </w:rPr>
            </w:pPr>
            <w:r w:rsidRPr="000F52C2">
              <w:rPr>
                <w:rtl/>
              </w:rPr>
              <w:t>תיקון סעיף 2</w:t>
            </w:r>
          </w:p>
        </w:tc>
        <w:tc>
          <w:tcPr>
            <w:tcW w:w="624" w:type="dxa"/>
            <w:tcMar>
              <w:top w:w="91" w:type="dxa"/>
              <w:left w:w="0" w:type="dxa"/>
              <w:bottom w:w="91" w:type="dxa"/>
              <w:right w:w="0" w:type="dxa"/>
            </w:tcMar>
          </w:tcPr>
          <w:p w:rsidR="001E307B" w:rsidRPr="000F52C2" w:rsidRDefault="001E307B" w:rsidP="000A04B5">
            <w:pPr>
              <w:pStyle w:val="TableBlock"/>
              <w:rPr>
                <w:rtl/>
              </w:rPr>
            </w:pPr>
            <w:r w:rsidRPr="000F52C2">
              <w:rPr>
                <w:rtl/>
              </w:rPr>
              <w:t>1.</w:t>
            </w:r>
            <w:r w:rsidRPr="000F52C2">
              <w:rPr>
                <w:rtl/>
              </w:rPr>
              <w:tab/>
            </w:r>
          </w:p>
        </w:tc>
        <w:tc>
          <w:tcPr>
            <w:tcW w:w="7146" w:type="dxa"/>
            <w:gridSpan w:val="2"/>
            <w:tcMar>
              <w:top w:w="91" w:type="dxa"/>
              <w:left w:w="0" w:type="dxa"/>
              <w:bottom w:w="91" w:type="dxa"/>
              <w:right w:w="0" w:type="dxa"/>
            </w:tcMar>
          </w:tcPr>
          <w:p w:rsidR="001E307B" w:rsidRPr="00B2699B" w:rsidRDefault="001E307B" w:rsidP="000A04B5">
            <w:pPr>
              <w:pStyle w:val="TableBlock"/>
              <w:rPr>
                <w:spacing w:val="-2"/>
                <w:rtl/>
              </w:rPr>
            </w:pPr>
            <w:r w:rsidRPr="00B2699B">
              <w:rPr>
                <w:spacing w:val="-2"/>
                <w:rtl/>
              </w:rPr>
              <w:t>בחוק תאגידי מים וביוב, התשס"א–2001</w:t>
            </w:r>
            <w:r>
              <w:rPr>
                <w:rStyle w:val="a6"/>
                <w:spacing w:val="-2"/>
                <w:rtl/>
              </w:rPr>
              <w:footnoteReference w:id="2"/>
            </w:r>
            <w:r w:rsidRPr="00B2699B">
              <w:rPr>
                <w:spacing w:val="-2"/>
                <w:rtl/>
              </w:rPr>
              <w:t xml:space="preserve">  (להלן – החוק העיקרי), בסעיף 2 – </w:t>
            </w:r>
          </w:p>
        </w:tc>
      </w:tr>
      <w:tr w:rsidR="008C076F" w:rsidTr="00804AC5">
        <w:tblPrEx>
          <w:tblLook w:val="01E0" w:firstRow="1" w:lastRow="1" w:firstColumn="1" w:lastColumn="1" w:noHBand="0" w:noVBand="0"/>
        </w:tblPrEx>
        <w:trPr>
          <w:cantSplit/>
          <w:trHeight w:val="60"/>
        </w:trPr>
        <w:tc>
          <w:tcPr>
            <w:tcW w:w="1871" w:type="dxa"/>
          </w:tcPr>
          <w:p w:rsidR="008C076F" w:rsidRDefault="008C076F" w:rsidP="000A04B5">
            <w:pPr>
              <w:pStyle w:val="TableSideHeading"/>
            </w:pPr>
          </w:p>
        </w:tc>
        <w:tc>
          <w:tcPr>
            <w:tcW w:w="624" w:type="dxa"/>
          </w:tcPr>
          <w:p w:rsidR="008C076F" w:rsidRDefault="008C076F" w:rsidP="000A04B5">
            <w:pPr>
              <w:pStyle w:val="TableText"/>
            </w:pPr>
          </w:p>
        </w:tc>
        <w:tc>
          <w:tcPr>
            <w:tcW w:w="7146" w:type="dxa"/>
            <w:gridSpan w:val="2"/>
          </w:tcPr>
          <w:p w:rsidR="008C076F" w:rsidRDefault="008C076F" w:rsidP="000A04B5">
            <w:pPr>
              <w:pStyle w:val="TableBlock"/>
            </w:pPr>
            <w:r w:rsidRPr="000F52C2">
              <w:rPr>
                <w:rtl/>
              </w:rPr>
              <w:t>(1)</w:t>
            </w:r>
            <w:r w:rsidRPr="000F52C2">
              <w:rPr>
                <w:rtl/>
              </w:rPr>
              <w:tab/>
              <w:t>בהגדרה "המועד הקובע"</w:t>
            </w:r>
            <w:r>
              <w:rPr>
                <w:rFonts w:hint="cs"/>
                <w:rtl/>
              </w:rPr>
              <w:t xml:space="preserve"> –</w:t>
            </w:r>
          </w:p>
        </w:tc>
      </w:tr>
      <w:tr w:rsidR="008C076F" w:rsidTr="00571CB4">
        <w:tblPrEx>
          <w:tblLook w:val="01E0" w:firstRow="1" w:lastRow="1" w:firstColumn="1" w:lastColumn="1" w:noHBand="0" w:noVBand="0"/>
        </w:tblPrEx>
        <w:trPr>
          <w:cantSplit/>
          <w:trHeight w:val="60"/>
        </w:trPr>
        <w:tc>
          <w:tcPr>
            <w:tcW w:w="1871" w:type="dxa"/>
          </w:tcPr>
          <w:p w:rsidR="008C076F" w:rsidRDefault="008C076F" w:rsidP="000A04B5">
            <w:pPr>
              <w:pStyle w:val="TableSideHeading"/>
            </w:pPr>
          </w:p>
        </w:tc>
        <w:tc>
          <w:tcPr>
            <w:tcW w:w="624" w:type="dxa"/>
          </w:tcPr>
          <w:p w:rsidR="008C076F" w:rsidRDefault="008C076F" w:rsidP="000A04B5">
            <w:pPr>
              <w:pStyle w:val="TableText"/>
            </w:pPr>
          </w:p>
        </w:tc>
        <w:tc>
          <w:tcPr>
            <w:tcW w:w="624" w:type="dxa"/>
          </w:tcPr>
          <w:p w:rsidR="008C076F" w:rsidRDefault="008C076F" w:rsidP="000A04B5">
            <w:pPr>
              <w:pStyle w:val="TableText"/>
            </w:pPr>
          </w:p>
        </w:tc>
        <w:tc>
          <w:tcPr>
            <w:tcW w:w="6522" w:type="dxa"/>
          </w:tcPr>
          <w:p w:rsidR="008C076F" w:rsidRDefault="008C076F" w:rsidP="000A04B5">
            <w:pPr>
              <w:pStyle w:val="TableBlock"/>
            </w:pPr>
            <w:r w:rsidRPr="00FE3C74">
              <w:rPr>
                <w:rFonts w:hint="cs"/>
                <w:rtl/>
              </w:rPr>
              <w:t>(א</w:t>
            </w:r>
            <w:r>
              <w:rPr>
                <w:rtl/>
              </w:rPr>
              <w:t>)</w:t>
            </w:r>
            <w:r>
              <w:rPr>
                <w:rtl/>
              </w:rPr>
              <w:tab/>
            </w:r>
            <w:r>
              <w:rPr>
                <w:rFonts w:hint="cs"/>
                <w:rtl/>
              </w:rPr>
              <w:t>בפסקה (1), במקום "</w:t>
            </w:r>
            <w:r w:rsidRPr="00832B6C">
              <w:rPr>
                <w:rtl/>
              </w:rPr>
              <w:t>י"ג בסיוון התשע"ה (31 במאי 2015)</w:t>
            </w:r>
            <w:r>
              <w:rPr>
                <w:rFonts w:hint="cs"/>
                <w:rtl/>
              </w:rPr>
              <w:t>" יבוא "</w:t>
            </w:r>
            <w:r w:rsidRPr="003D71C4">
              <w:rPr>
                <w:rtl/>
              </w:rPr>
              <w:t>כ"ג באייר התשע"ו (31 במאי 2016)</w:t>
            </w:r>
            <w:r>
              <w:rPr>
                <w:rFonts w:hint="cs"/>
                <w:rtl/>
              </w:rPr>
              <w:t>";</w:t>
            </w:r>
          </w:p>
        </w:tc>
      </w:tr>
      <w:tr w:rsidR="008C076F" w:rsidTr="00340BBD">
        <w:tblPrEx>
          <w:tblLook w:val="01E0" w:firstRow="1" w:lastRow="1" w:firstColumn="1" w:lastColumn="1" w:noHBand="0" w:noVBand="0"/>
        </w:tblPrEx>
        <w:trPr>
          <w:cantSplit/>
          <w:trHeight w:val="60"/>
        </w:trPr>
        <w:tc>
          <w:tcPr>
            <w:tcW w:w="1871" w:type="dxa"/>
          </w:tcPr>
          <w:p w:rsidR="008C076F" w:rsidRDefault="008C076F" w:rsidP="000A04B5">
            <w:pPr>
              <w:pStyle w:val="TableSideHeading"/>
            </w:pPr>
          </w:p>
        </w:tc>
        <w:tc>
          <w:tcPr>
            <w:tcW w:w="624" w:type="dxa"/>
          </w:tcPr>
          <w:p w:rsidR="008C076F" w:rsidRDefault="008C076F" w:rsidP="000A04B5">
            <w:pPr>
              <w:pStyle w:val="TableText"/>
            </w:pPr>
          </w:p>
        </w:tc>
        <w:tc>
          <w:tcPr>
            <w:tcW w:w="624" w:type="dxa"/>
          </w:tcPr>
          <w:p w:rsidR="008C076F" w:rsidRDefault="008C076F" w:rsidP="000A04B5">
            <w:pPr>
              <w:pStyle w:val="TableText"/>
            </w:pPr>
          </w:p>
        </w:tc>
        <w:tc>
          <w:tcPr>
            <w:tcW w:w="6522" w:type="dxa"/>
          </w:tcPr>
          <w:p w:rsidR="008C076F" w:rsidRPr="00FE3C74" w:rsidRDefault="008C076F" w:rsidP="007E716D">
            <w:pPr>
              <w:pStyle w:val="TableBlock"/>
              <w:rPr>
                <w:rtl/>
              </w:rPr>
            </w:pPr>
            <w:r>
              <w:rPr>
                <w:rFonts w:hint="cs"/>
                <w:rtl/>
              </w:rPr>
              <w:t>(ב)</w:t>
            </w:r>
            <w:r>
              <w:rPr>
                <w:rtl/>
              </w:rPr>
              <w:tab/>
            </w:r>
            <w:r>
              <w:rPr>
                <w:rFonts w:hint="cs"/>
                <w:rtl/>
              </w:rPr>
              <w:t>בפסקה (2), במקום "</w:t>
            </w:r>
            <w:r w:rsidRPr="006C46C9">
              <w:rPr>
                <w:rtl/>
              </w:rPr>
              <w:t>י</w:t>
            </w:r>
            <w:r>
              <w:rPr>
                <w:rtl/>
              </w:rPr>
              <w:t>"ד בסיוון התשע"ה (1 ביוני 2015)</w:t>
            </w:r>
            <w:r>
              <w:rPr>
                <w:rFonts w:hint="cs"/>
                <w:rtl/>
              </w:rPr>
              <w:t>"</w:t>
            </w:r>
            <w:r w:rsidRPr="000F52C2">
              <w:rPr>
                <w:rtl/>
              </w:rPr>
              <w:t xml:space="preserve"> </w:t>
            </w:r>
            <w:r>
              <w:rPr>
                <w:rFonts w:hint="cs"/>
                <w:rtl/>
              </w:rPr>
              <w:t>יבוא "</w:t>
            </w:r>
            <w:r w:rsidRPr="003D71C4">
              <w:rPr>
                <w:rtl/>
              </w:rPr>
              <w:t>כ"ד באייר התשע"ו (1 ביוני 2016)</w:t>
            </w:r>
            <w:r>
              <w:rPr>
                <w:rFonts w:hint="cs"/>
                <w:rtl/>
              </w:rPr>
              <w:t>";</w:t>
            </w:r>
          </w:p>
        </w:tc>
      </w:tr>
      <w:tr w:rsidR="008C076F" w:rsidTr="00A23D86">
        <w:tblPrEx>
          <w:tblLook w:val="01E0" w:firstRow="1" w:lastRow="1" w:firstColumn="1" w:lastColumn="1" w:noHBand="0" w:noVBand="0"/>
        </w:tblPrEx>
        <w:trPr>
          <w:cantSplit/>
          <w:trHeight w:val="60"/>
        </w:trPr>
        <w:tc>
          <w:tcPr>
            <w:tcW w:w="1871" w:type="dxa"/>
          </w:tcPr>
          <w:p w:rsidR="008C076F" w:rsidRDefault="008C076F" w:rsidP="000A04B5">
            <w:pPr>
              <w:pStyle w:val="TableSideHeading"/>
            </w:pPr>
          </w:p>
        </w:tc>
        <w:tc>
          <w:tcPr>
            <w:tcW w:w="624" w:type="dxa"/>
          </w:tcPr>
          <w:p w:rsidR="008C076F" w:rsidRDefault="008C076F" w:rsidP="000A04B5">
            <w:pPr>
              <w:pStyle w:val="TableText"/>
            </w:pPr>
          </w:p>
        </w:tc>
        <w:tc>
          <w:tcPr>
            <w:tcW w:w="624" w:type="dxa"/>
          </w:tcPr>
          <w:p w:rsidR="008C076F" w:rsidRDefault="008C076F" w:rsidP="000A04B5">
            <w:pPr>
              <w:pStyle w:val="TableText"/>
            </w:pPr>
          </w:p>
        </w:tc>
        <w:tc>
          <w:tcPr>
            <w:tcW w:w="6522" w:type="dxa"/>
          </w:tcPr>
          <w:p w:rsidR="008C076F" w:rsidRPr="00FE3C74" w:rsidRDefault="008C076F" w:rsidP="000A04B5">
            <w:pPr>
              <w:pStyle w:val="TableBlock"/>
              <w:rPr>
                <w:rtl/>
              </w:rPr>
            </w:pPr>
            <w:r>
              <w:rPr>
                <w:rFonts w:hint="cs"/>
                <w:rtl/>
              </w:rPr>
              <w:t>(ג)</w:t>
            </w:r>
            <w:r>
              <w:rPr>
                <w:rtl/>
              </w:rPr>
              <w:tab/>
            </w:r>
            <w:r>
              <w:rPr>
                <w:rFonts w:hint="cs"/>
                <w:rtl/>
              </w:rPr>
              <w:t>בפסקה (3), במקום "</w:t>
            </w:r>
            <w:r w:rsidRPr="00AD7F5A">
              <w:rPr>
                <w:rtl/>
              </w:rPr>
              <w:t>ח' בטבת התשע"ה (30 בדצמבר 2014) – כ"ד באייר התשע"ו (1 ביוני 2016)</w:t>
            </w:r>
            <w:r>
              <w:rPr>
                <w:rFonts w:hint="cs"/>
                <w:rtl/>
              </w:rPr>
              <w:t>" יבוא "</w:t>
            </w:r>
            <w:r>
              <w:rPr>
                <w:rtl/>
              </w:rPr>
              <w:t>י</w:t>
            </w:r>
            <w:r>
              <w:rPr>
                <w:rFonts w:hint="cs"/>
                <w:rtl/>
              </w:rPr>
              <w:t>"</w:t>
            </w:r>
            <w:r>
              <w:rPr>
                <w:rtl/>
              </w:rPr>
              <w:t>ח בטבת התשע"ו (30 בדצמבר 2015</w:t>
            </w:r>
            <w:r w:rsidRPr="000F52C2">
              <w:rPr>
                <w:rtl/>
              </w:rPr>
              <w:t>)</w:t>
            </w:r>
            <w:r>
              <w:rPr>
                <w:rtl/>
              </w:rPr>
              <w:t xml:space="preserve"> – ז' בסיוון התשע"ז (1 ביוני 2017)</w:t>
            </w:r>
            <w:r>
              <w:rPr>
                <w:rFonts w:hint="cs"/>
                <w:rtl/>
              </w:rPr>
              <w:t>";</w:t>
            </w:r>
          </w:p>
        </w:tc>
      </w:tr>
      <w:tr w:rsidR="008C076F" w:rsidTr="00566BC0">
        <w:tblPrEx>
          <w:tblLook w:val="01E0" w:firstRow="1" w:lastRow="1" w:firstColumn="1" w:lastColumn="1" w:noHBand="0" w:noVBand="0"/>
        </w:tblPrEx>
        <w:trPr>
          <w:cantSplit/>
          <w:trHeight w:val="60"/>
        </w:trPr>
        <w:tc>
          <w:tcPr>
            <w:tcW w:w="1871" w:type="dxa"/>
          </w:tcPr>
          <w:p w:rsidR="008C076F" w:rsidRDefault="008C076F" w:rsidP="000A04B5">
            <w:pPr>
              <w:pStyle w:val="TableSideHeading"/>
            </w:pPr>
          </w:p>
        </w:tc>
        <w:tc>
          <w:tcPr>
            <w:tcW w:w="624" w:type="dxa"/>
          </w:tcPr>
          <w:p w:rsidR="008C076F" w:rsidRDefault="008C076F" w:rsidP="000A04B5">
            <w:pPr>
              <w:pStyle w:val="TableText"/>
            </w:pPr>
          </w:p>
        </w:tc>
        <w:tc>
          <w:tcPr>
            <w:tcW w:w="7146" w:type="dxa"/>
            <w:gridSpan w:val="2"/>
          </w:tcPr>
          <w:p w:rsidR="008C076F" w:rsidRDefault="008C076F" w:rsidP="000A04B5">
            <w:pPr>
              <w:pStyle w:val="TableBlock"/>
            </w:pPr>
            <w:r w:rsidRPr="000F52C2">
              <w:rPr>
                <w:rtl/>
              </w:rPr>
              <w:t>(2)</w:t>
            </w:r>
            <w:r w:rsidRPr="000F52C2">
              <w:rPr>
                <w:rtl/>
              </w:rPr>
              <w:tab/>
              <w:t>בהגדרה "רשות מקומית בלא חברה", במקום "ח' בטבת התשע"ה</w:t>
            </w:r>
            <w:r>
              <w:rPr>
                <w:rtl/>
              </w:rPr>
              <w:t xml:space="preserve"> </w:t>
            </w:r>
            <w:r w:rsidRPr="000F52C2">
              <w:rPr>
                <w:rtl/>
              </w:rPr>
              <w:t xml:space="preserve"> (30 בדצמבר 2014)" יבוא</w:t>
            </w:r>
            <w:r>
              <w:rPr>
                <w:rtl/>
              </w:rPr>
              <w:t xml:space="preserve"> "י</w:t>
            </w:r>
            <w:r>
              <w:rPr>
                <w:rFonts w:hint="cs"/>
                <w:rtl/>
              </w:rPr>
              <w:t>"</w:t>
            </w:r>
            <w:r>
              <w:rPr>
                <w:rtl/>
              </w:rPr>
              <w:t>ח בטבת התשע"ו (30 בדצמבר 2015)"</w:t>
            </w:r>
            <w:r>
              <w:rPr>
                <w:rFonts w:hint="cs"/>
                <w:rtl/>
              </w:rPr>
              <w:t>.</w:t>
            </w:r>
          </w:p>
        </w:tc>
      </w:tr>
      <w:tr w:rsidR="001E307B" w:rsidRPr="000F52C2" w:rsidTr="000A04B5">
        <w:trPr>
          <w:cantSplit/>
        </w:trPr>
        <w:tc>
          <w:tcPr>
            <w:tcW w:w="1871" w:type="dxa"/>
            <w:tcMar>
              <w:top w:w="91" w:type="dxa"/>
              <w:left w:w="0" w:type="dxa"/>
              <w:bottom w:w="91" w:type="dxa"/>
              <w:right w:w="0" w:type="dxa"/>
            </w:tcMar>
          </w:tcPr>
          <w:p w:rsidR="001E307B" w:rsidRPr="000F52C2" w:rsidRDefault="001E307B" w:rsidP="000A04B5">
            <w:pPr>
              <w:pStyle w:val="TableBlock"/>
              <w:rPr>
                <w:rtl/>
              </w:rPr>
            </w:pPr>
            <w:r w:rsidRPr="000F52C2">
              <w:rPr>
                <w:rtl/>
              </w:rPr>
              <w:t>תיקון סעיף 6א</w:t>
            </w:r>
          </w:p>
        </w:tc>
        <w:tc>
          <w:tcPr>
            <w:tcW w:w="624" w:type="dxa"/>
            <w:tcMar>
              <w:top w:w="91" w:type="dxa"/>
              <w:left w:w="0" w:type="dxa"/>
              <w:bottom w:w="91" w:type="dxa"/>
              <w:right w:w="0" w:type="dxa"/>
            </w:tcMar>
          </w:tcPr>
          <w:p w:rsidR="001E307B" w:rsidRPr="000F52C2" w:rsidRDefault="001E307B" w:rsidP="000A04B5">
            <w:pPr>
              <w:pStyle w:val="TableBlock"/>
              <w:rPr>
                <w:rtl/>
              </w:rPr>
            </w:pPr>
            <w:r w:rsidRPr="000F52C2">
              <w:rPr>
                <w:rtl/>
              </w:rPr>
              <w:t>2.</w:t>
            </w:r>
            <w:r w:rsidRPr="000F52C2">
              <w:rPr>
                <w:rtl/>
              </w:rPr>
              <w:tab/>
            </w:r>
          </w:p>
        </w:tc>
        <w:tc>
          <w:tcPr>
            <w:tcW w:w="7146" w:type="dxa"/>
            <w:gridSpan w:val="2"/>
            <w:tcMar>
              <w:top w:w="91" w:type="dxa"/>
              <w:left w:w="0" w:type="dxa"/>
              <w:bottom w:w="91" w:type="dxa"/>
              <w:right w:w="0" w:type="dxa"/>
            </w:tcMar>
          </w:tcPr>
          <w:p w:rsidR="001E307B" w:rsidRPr="000F52C2" w:rsidRDefault="001E307B" w:rsidP="007E716D">
            <w:pPr>
              <w:pStyle w:val="TableBlock"/>
              <w:rPr>
                <w:rtl/>
              </w:rPr>
            </w:pPr>
            <w:r w:rsidRPr="000F52C2">
              <w:rPr>
                <w:rtl/>
              </w:rPr>
              <w:t>בסעיף 6א</w:t>
            </w:r>
            <w:r w:rsidR="008C076F">
              <w:rPr>
                <w:rFonts w:hint="cs"/>
                <w:rtl/>
              </w:rPr>
              <w:t>(ב)</w:t>
            </w:r>
            <w:r w:rsidRPr="000F52C2">
              <w:rPr>
                <w:rtl/>
              </w:rPr>
              <w:t xml:space="preserve"> לחוק העיקרי, במקום "ח' בטבת התשע"ה (30 בדצמבר 2014)"</w:t>
            </w:r>
            <w:r>
              <w:rPr>
                <w:rFonts w:hint="cs"/>
                <w:rtl/>
              </w:rPr>
              <w:t xml:space="preserve"> יבוא "</w:t>
            </w:r>
            <w:r w:rsidR="008C076F">
              <w:rPr>
                <w:rtl/>
              </w:rPr>
              <w:t>י</w:t>
            </w:r>
            <w:r w:rsidR="008C076F">
              <w:rPr>
                <w:rFonts w:hint="cs"/>
                <w:rtl/>
              </w:rPr>
              <w:t>"</w:t>
            </w:r>
            <w:r w:rsidR="008C076F">
              <w:rPr>
                <w:rtl/>
              </w:rPr>
              <w:t>ח</w:t>
            </w:r>
            <w:r>
              <w:rPr>
                <w:rtl/>
              </w:rPr>
              <w:t xml:space="preserve"> בטבת התשע"ו</w:t>
            </w:r>
            <w:r>
              <w:rPr>
                <w:rFonts w:hint="cs"/>
                <w:rtl/>
              </w:rPr>
              <w:t xml:space="preserve"> </w:t>
            </w:r>
            <w:r>
              <w:rPr>
                <w:rtl/>
              </w:rPr>
              <w:t>(30 בדצמבר 201</w:t>
            </w:r>
            <w:r>
              <w:rPr>
                <w:rFonts w:hint="cs"/>
                <w:rtl/>
              </w:rPr>
              <w:t>5</w:t>
            </w:r>
            <w:r w:rsidRPr="000F52C2">
              <w:rPr>
                <w:rtl/>
              </w:rPr>
              <w:t>)"</w:t>
            </w:r>
            <w:r>
              <w:rPr>
                <w:rFonts w:hint="cs"/>
                <w:rtl/>
              </w:rPr>
              <w:t>.</w:t>
            </w:r>
          </w:p>
        </w:tc>
      </w:tr>
      <w:tr w:rsidR="001E307B" w:rsidRPr="000F52C2" w:rsidTr="000A04B5">
        <w:trPr>
          <w:cantSplit/>
        </w:trPr>
        <w:tc>
          <w:tcPr>
            <w:tcW w:w="1871" w:type="dxa"/>
            <w:tcMar>
              <w:top w:w="91" w:type="dxa"/>
              <w:left w:w="0" w:type="dxa"/>
              <w:bottom w:w="91" w:type="dxa"/>
              <w:right w:w="0" w:type="dxa"/>
            </w:tcMar>
          </w:tcPr>
          <w:p w:rsidR="001E307B" w:rsidRPr="000F52C2" w:rsidRDefault="001E307B" w:rsidP="000A04B5">
            <w:pPr>
              <w:pStyle w:val="TableBlock"/>
              <w:rPr>
                <w:rtl/>
              </w:rPr>
            </w:pPr>
            <w:r w:rsidRPr="00035707">
              <w:rPr>
                <w:rtl/>
              </w:rPr>
              <w:t>תיקון סעיף 6ז</w:t>
            </w:r>
          </w:p>
        </w:tc>
        <w:tc>
          <w:tcPr>
            <w:tcW w:w="624" w:type="dxa"/>
            <w:tcMar>
              <w:top w:w="91" w:type="dxa"/>
              <w:left w:w="0" w:type="dxa"/>
              <w:bottom w:w="91" w:type="dxa"/>
              <w:right w:w="0" w:type="dxa"/>
            </w:tcMar>
          </w:tcPr>
          <w:p w:rsidR="001E307B" w:rsidRPr="000F52C2" w:rsidRDefault="001E307B" w:rsidP="000A04B5">
            <w:pPr>
              <w:pStyle w:val="TableBlock"/>
              <w:rPr>
                <w:rtl/>
              </w:rPr>
            </w:pPr>
            <w:r w:rsidRPr="000F52C2">
              <w:rPr>
                <w:rtl/>
              </w:rPr>
              <w:t>3.</w:t>
            </w:r>
            <w:r w:rsidRPr="000F52C2">
              <w:rPr>
                <w:rtl/>
              </w:rPr>
              <w:tab/>
            </w:r>
          </w:p>
        </w:tc>
        <w:tc>
          <w:tcPr>
            <w:tcW w:w="7146" w:type="dxa"/>
            <w:gridSpan w:val="2"/>
            <w:tcMar>
              <w:top w:w="91" w:type="dxa"/>
              <w:left w:w="0" w:type="dxa"/>
              <w:bottom w:w="91" w:type="dxa"/>
              <w:right w:w="0" w:type="dxa"/>
            </w:tcMar>
          </w:tcPr>
          <w:p w:rsidR="001E307B" w:rsidRPr="000F52C2" w:rsidRDefault="001E307B" w:rsidP="007E716D">
            <w:pPr>
              <w:pStyle w:val="TableBlock"/>
              <w:rPr>
                <w:rtl/>
              </w:rPr>
            </w:pPr>
            <w:r w:rsidRPr="0079243E">
              <w:rPr>
                <w:rtl/>
              </w:rPr>
              <w:t xml:space="preserve">בסעיף 6ז(ב) לחוק העיקרי, במקום "ט' בטבת התשע"ה (31 בדצמבר 2014)" </w:t>
            </w:r>
            <w:r w:rsidRPr="0079243E">
              <w:rPr>
                <w:rFonts w:hint="cs"/>
                <w:rtl/>
              </w:rPr>
              <w:t>יבוא "יט' באב התשע"ו (</w:t>
            </w:r>
            <w:r w:rsidRPr="0079243E">
              <w:rPr>
                <w:rtl/>
              </w:rPr>
              <w:t>31 בדצמבר 201</w:t>
            </w:r>
            <w:r w:rsidRPr="0079243E">
              <w:rPr>
                <w:rFonts w:hint="cs"/>
                <w:rtl/>
              </w:rPr>
              <w:t>5)", במקום "</w:t>
            </w:r>
            <w:r w:rsidRPr="0079243E">
              <w:rPr>
                <w:rtl/>
              </w:rPr>
              <w:t>י"א בשבט התשע"ה (31 בינואר 2015)</w:t>
            </w:r>
            <w:r w:rsidR="008C076F">
              <w:rPr>
                <w:rFonts w:hint="cs"/>
                <w:rtl/>
              </w:rPr>
              <w:t>" יבוא כ"א</w:t>
            </w:r>
            <w:r w:rsidRPr="0079243E">
              <w:rPr>
                <w:rFonts w:hint="cs"/>
                <w:rtl/>
              </w:rPr>
              <w:t xml:space="preserve"> בשבט התשע"ו </w:t>
            </w:r>
            <w:r w:rsidRPr="0079243E">
              <w:rPr>
                <w:rtl/>
              </w:rPr>
              <w:t>(31 בינואר 201</w:t>
            </w:r>
            <w:r w:rsidRPr="0079243E">
              <w:rPr>
                <w:rFonts w:hint="cs"/>
                <w:rtl/>
              </w:rPr>
              <w:t>6</w:t>
            </w:r>
            <w:r w:rsidRPr="0079243E">
              <w:rPr>
                <w:rtl/>
              </w:rPr>
              <w:t>)</w:t>
            </w:r>
            <w:r w:rsidRPr="0079243E">
              <w:rPr>
                <w:rFonts w:hint="cs"/>
                <w:rtl/>
              </w:rPr>
              <w:t>"</w:t>
            </w:r>
            <w:r w:rsidR="008C076F">
              <w:rPr>
                <w:rFonts w:hint="cs"/>
                <w:rtl/>
              </w:rPr>
              <w:t>,</w:t>
            </w:r>
            <w:r w:rsidRPr="0079243E">
              <w:rPr>
                <w:rFonts w:hint="cs"/>
                <w:rtl/>
              </w:rPr>
              <w:t xml:space="preserve"> ובמקום</w:t>
            </w:r>
            <w:r w:rsidRPr="0079243E">
              <w:rPr>
                <w:rtl/>
              </w:rPr>
              <w:t xml:space="preserve"> </w:t>
            </w:r>
            <w:r w:rsidR="008C076F">
              <w:rPr>
                <w:rFonts w:hint="cs"/>
                <w:rtl/>
              </w:rPr>
              <w:t>"</w:t>
            </w:r>
            <w:r w:rsidRPr="0079243E">
              <w:rPr>
                <w:rtl/>
              </w:rPr>
              <w:t>כ"א בשבט התשע"ו (31 בינואר 2016)</w:t>
            </w:r>
            <w:r w:rsidRPr="0079243E">
              <w:rPr>
                <w:rFonts w:hint="cs"/>
                <w:rtl/>
              </w:rPr>
              <w:t xml:space="preserve">" יבוא "ד' בשבט התשע"ז </w:t>
            </w:r>
            <w:r w:rsidRPr="0079243E">
              <w:rPr>
                <w:rtl/>
              </w:rPr>
              <w:t>(31 בינואר 201</w:t>
            </w:r>
            <w:r w:rsidRPr="0079243E">
              <w:rPr>
                <w:rFonts w:hint="cs"/>
                <w:rtl/>
              </w:rPr>
              <w:t>7</w:t>
            </w:r>
            <w:r w:rsidRPr="0079243E">
              <w:rPr>
                <w:rtl/>
              </w:rPr>
              <w:t>)</w:t>
            </w:r>
            <w:r w:rsidRPr="0079243E">
              <w:rPr>
                <w:rFonts w:hint="cs"/>
                <w:rtl/>
              </w:rPr>
              <w:t>".</w:t>
            </w:r>
          </w:p>
        </w:tc>
      </w:tr>
      <w:tr w:rsidR="001E307B" w:rsidRPr="000F52C2" w:rsidTr="000A04B5">
        <w:trPr>
          <w:cantSplit/>
        </w:trPr>
        <w:tc>
          <w:tcPr>
            <w:tcW w:w="1871" w:type="dxa"/>
            <w:tcMar>
              <w:top w:w="91" w:type="dxa"/>
              <w:left w:w="0" w:type="dxa"/>
              <w:bottom w:w="91" w:type="dxa"/>
              <w:right w:w="0" w:type="dxa"/>
            </w:tcMar>
          </w:tcPr>
          <w:p w:rsidR="001E307B" w:rsidRDefault="001E307B" w:rsidP="000A04B5">
            <w:pPr>
              <w:pStyle w:val="TableBlock"/>
              <w:jc w:val="left"/>
              <w:rPr>
                <w:rtl/>
              </w:rPr>
            </w:pPr>
            <w:r>
              <w:rPr>
                <w:rtl/>
              </w:rPr>
              <w:t>תיקון חוק לשינוי סדרי עדיפויות לאומיים (תיקוני חקיקה להשגת יעדי התקציב לשנים 2013 ו-2014)</w:t>
            </w:r>
          </w:p>
          <w:p w:rsidR="001E307B" w:rsidRPr="000F52C2" w:rsidRDefault="001E307B" w:rsidP="000A04B5">
            <w:pPr>
              <w:pStyle w:val="TableBlock"/>
              <w:jc w:val="left"/>
              <w:rPr>
                <w:rtl/>
              </w:rPr>
            </w:pPr>
          </w:p>
        </w:tc>
        <w:tc>
          <w:tcPr>
            <w:tcW w:w="624" w:type="dxa"/>
            <w:tcMar>
              <w:top w:w="91" w:type="dxa"/>
              <w:left w:w="0" w:type="dxa"/>
              <w:bottom w:w="91" w:type="dxa"/>
              <w:right w:w="0" w:type="dxa"/>
            </w:tcMar>
          </w:tcPr>
          <w:p w:rsidR="001E307B" w:rsidRPr="000F52C2" w:rsidRDefault="001E307B" w:rsidP="000A04B5">
            <w:pPr>
              <w:pStyle w:val="TableText"/>
              <w:rPr>
                <w:rtl/>
              </w:rPr>
            </w:pPr>
            <w:r>
              <w:rPr>
                <w:rFonts w:hint="cs"/>
                <w:rtl/>
              </w:rPr>
              <w:t>4</w:t>
            </w:r>
            <w:r>
              <w:rPr>
                <w:rtl/>
              </w:rPr>
              <w:t>.</w:t>
            </w:r>
          </w:p>
        </w:tc>
        <w:tc>
          <w:tcPr>
            <w:tcW w:w="7146" w:type="dxa"/>
            <w:gridSpan w:val="2"/>
            <w:tcMar>
              <w:top w:w="91" w:type="dxa"/>
              <w:left w:w="0" w:type="dxa"/>
              <w:bottom w:w="91" w:type="dxa"/>
              <w:right w:w="0" w:type="dxa"/>
            </w:tcMar>
          </w:tcPr>
          <w:p w:rsidR="001E307B" w:rsidRPr="000F52C2" w:rsidRDefault="001E307B" w:rsidP="000A04B5">
            <w:pPr>
              <w:pStyle w:val="TableBlock"/>
              <w:rPr>
                <w:rtl/>
              </w:rPr>
            </w:pPr>
            <w:r>
              <w:rPr>
                <w:rtl/>
              </w:rPr>
              <w:t>בחוק לשינוי סדרי עדיפויות לאומיים (תיקוני חקיקה להשגת יעדי התקציב לשנים 2013 ו-2014), התשע"ג–2013</w:t>
            </w:r>
            <w:r>
              <w:rPr>
                <w:rStyle w:val="a6"/>
                <w:rtl/>
              </w:rPr>
              <w:footnoteReference w:id="3"/>
            </w:r>
            <w:r>
              <w:rPr>
                <w:rtl/>
              </w:rPr>
              <w:t>, בסעיף 63(ג) –</w:t>
            </w:r>
          </w:p>
        </w:tc>
      </w:tr>
      <w:tr w:rsidR="001E307B" w:rsidRPr="000F52C2" w:rsidTr="000A04B5">
        <w:trPr>
          <w:cantSplit/>
        </w:trPr>
        <w:tc>
          <w:tcPr>
            <w:tcW w:w="1871" w:type="dxa"/>
            <w:tcMar>
              <w:top w:w="91" w:type="dxa"/>
              <w:left w:w="0" w:type="dxa"/>
              <w:bottom w:w="91" w:type="dxa"/>
              <w:right w:w="0" w:type="dxa"/>
            </w:tcMar>
          </w:tcPr>
          <w:p w:rsidR="001E307B" w:rsidRDefault="001E307B" w:rsidP="000A04B5">
            <w:pPr>
              <w:pStyle w:val="TableBlock"/>
              <w:jc w:val="left"/>
              <w:rPr>
                <w:rtl/>
              </w:rPr>
            </w:pPr>
          </w:p>
        </w:tc>
        <w:tc>
          <w:tcPr>
            <w:tcW w:w="624" w:type="dxa"/>
            <w:tcMar>
              <w:top w:w="91" w:type="dxa"/>
              <w:left w:w="0" w:type="dxa"/>
              <w:bottom w:w="91" w:type="dxa"/>
              <w:right w:w="0" w:type="dxa"/>
            </w:tcMar>
          </w:tcPr>
          <w:p w:rsidR="001E307B" w:rsidRDefault="001E307B" w:rsidP="000A04B5">
            <w:pPr>
              <w:pStyle w:val="TableText"/>
              <w:rPr>
                <w:rtl/>
              </w:rPr>
            </w:pPr>
          </w:p>
        </w:tc>
        <w:tc>
          <w:tcPr>
            <w:tcW w:w="7146" w:type="dxa"/>
            <w:gridSpan w:val="2"/>
            <w:tcMar>
              <w:top w:w="91" w:type="dxa"/>
              <w:left w:w="0" w:type="dxa"/>
              <w:bottom w:w="91" w:type="dxa"/>
              <w:right w:w="0" w:type="dxa"/>
            </w:tcMar>
          </w:tcPr>
          <w:p w:rsidR="001E307B" w:rsidRDefault="001E307B" w:rsidP="000A04B5">
            <w:pPr>
              <w:pStyle w:val="TableBlock"/>
              <w:rPr>
                <w:rtl/>
              </w:rPr>
            </w:pPr>
            <w:r>
              <w:rPr>
                <w:rtl/>
              </w:rPr>
              <w:t>(1)</w:t>
            </w:r>
            <w:r>
              <w:rPr>
                <w:rtl/>
              </w:rPr>
              <w:tab/>
              <w:t xml:space="preserve">בפסקה (1), </w:t>
            </w:r>
            <w:r>
              <w:rPr>
                <w:rFonts w:hint="cs"/>
                <w:rtl/>
              </w:rPr>
              <w:t>במקום</w:t>
            </w:r>
            <w:r>
              <w:rPr>
                <w:rtl/>
              </w:rPr>
              <w:t xml:space="preserve"> </w:t>
            </w:r>
            <w:r>
              <w:rPr>
                <w:rFonts w:hint="cs"/>
                <w:rtl/>
              </w:rPr>
              <w:t>"</w:t>
            </w:r>
            <w:r w:rsidRPr="000F52C2">
              <w:rPr>
                <w:rtl/>
              </w:rPr>
              <w:t>ח' בטבת התשע"ה (30 בדצמבר 2014)</w:t>
            </w:r>
            <w:r w:rsidR="008C076F">
              <w:rPr>
                <w:rFonts w:hint="cs"/>
                <w:rtl/>
              </w:rPr>
              <w:t>" יבוא י"ח</w:t>
            </w:r>
            <w:r>
              <w:rPr>
                <w:rFonts w:hint="cs"/>
                <w:rtl/>
              </w:rPr>
              <w:t xml:space="preserve"> בטבת התשע"ו (30 בדצמבר 2015)"</w:t>
            </w:r>
            <w:r w:rsidR="008C076F">
              <w:rPr>
                <w:rFonts w:hint="cs"/>
                <w:rtl/>
              </w:rPr>
              <w:t>,</w:t>
            </w:r>
            <w:r>
              <w:rPr>
                <w:rtl/>
              </w:rPr>
              <w:t xml:space="preserve"> </w:t>
            </w:r>
            <w:r>
              <w:rPr>
                <w:rFonts w:hint="cs"/>
                <w:rtl/>
              </w:rPr>
              <w:t>ואחרי "2015" יבוא "ו-2016".</w:t>
            </w:r>
          </w:p>
        </w:tc>
      </w:tr>
      <w:tr w:rsidR="001E307B" w:rsidRPr="000F52C2" w:rsidTr="000A04B5">
        <w:trPr>
          <w:cantSplit/>
        </w:trPr>
        <w:tc>
          <w:tcPr>
            <w:tcW w:w="1871" w:type="dxa"/>
            <w:tcMar>
              <w:top w:w="91" w:type="dxa"/>
              <w:left w:w="0" w:type="dxa"/>
              <w:bottom w:w="91" w:type="dxa"/>
              <w:right w:w="0" w:type="dxa"/>
            </w:tcMar>
          </w:tcPr>
          <w:p w:rsidR="001E307B" w:rsidRDefault="001E307B" w:rsidP="000A04B5">
            <w:pPr>
              <w:pStyle w:val="TableBlock"/>
              <w:jc w:val="left"/>
              <w:rPr>
                <w:rtl/>
              </w:rPr>
            </w:pPr>
          </w:p>
        </w:tc>
        <w:tc>
          <w:tcPr>
            <w:tcW w:w="624" w:type="dxa"/>
            <w:tcMar>
              <w:top w:w="91" w:type="dxa"/>
              <w:left w:w="0" w:type="dxa"/>
              <w:bottom w:w="91" w:type="dxa"/>
              <w:right w:w="0" w:type="dxa"/>
            </w:tcMar>
          </w:tcPr>
          <w:p w:rsidR="001E307B" w:rsidRDefault="001E307B" w:rsidP="000A04B5">
            <w:pPr>
              <w:pStyle w:val="TableText"/>
              <w:rPr>
                <w:rtl/>
              </w:rPr>
            </w:pPr>
          </w:p>
        </w:tc>
        <w:tc>
          <w:tcPr>
            <w:tcW w:w="7146" w:type="dxa"/>
            <w:gridSpan w:val="2"/>
            <w:tcMar>
              <w:top w:w="91" w:type="dxa"/>
              <w:left w:w="0" w:type="dxa"/>
              <w:bottom w:w="91" w:type="dxa"/>
              <w:right w:w="0" w:type="dxa"/>
            </w:tcMar>
          </w:tcPr>
          <w:p w:rsidR="001E307B" w:rsidRDefault="001E307B" w:rsidP="007E716D">
            <w:pPr>
              <w:pStyle w:val="TableBlock"/>
              <w:rPr>
                <w:rtl/>
              </w:rPr>
            </w:pPr>
            <w:r>
              <w:rPr>
                <w:rtl/>
              </w:rPr>
              <w:t>(2)</w:t>
            </w:r>
            <w:r>
              <w:rPr>
                <w:rtl/>
              </w:rPr>
              <w:tab/>
              <w:t xml:space="preserve">בפסקה (2), </w:t>
            </w:r>
            <w:r>
              <w:rPr>
                <w:rFonts w:hint="cs"/>
                <w:rtl/>
              </w:rPr>
              <w:t>בסופה יבוא "</w:t>
            </w:r>
            <w:r>
              <w:rPr>
                <w:rtl/>
              </w:rPr>
              <w:t>חברה שהוקמה על ידי רשות מקומית</w:t>
            </w:r>
            <w:r>
              <w:rPr>
                <w:rFonts w:hint="cs"/>
                <w:rtl/>
              </w:rPr>
              <w:t xml:space="preserve"> מיום </w:t>
            </w:r>
            <w:r w:rsidRPr="000F52C2">
              <w:rPr>
                <w:rtl/>
              </w:rPr>
              <w:t>ח' בטבת התשע"ה (30 בדצמבר 2014)</w:t>
            </w:r>
            <w:r w:rsidR="008C076F">
              <w:rPr>
                <w:rFonts w:hint="cs"/>
                <w:rtl/>
              </w:rPr>
              <w:t xml:space="preserve"> עד ליום י"ח</w:t>
            </w:r>
            <w:r>
              <w:rPr>
                <w:rFonts w:hint="cs"/>
                <w:rtl/>
              </w:rPr>
              <w:t xml:space="preserve"> בטבת התשע"ו (30 בדצמבר 2015), תגיש דוח כספי כאמור לשנ</w:t>
            </w:r>
            <w:r w:rsidR="008C076F">
              <w:rPr>
                <w:rFonts w:hint="cs"/>
                <w:rtl/>
              </w:rPr>
              <w:t>ת 2016</w:t>
            </w:r>
            <w:r>
              <w:rPr>
                <w:rFonts w:hint="cs"/>
                <w:rtl/>
              </w:rPr>
              <w:t xml:space="preserve"> ותכנית עסקית חמש-שנתית כאמור</w:t>
            </w:r>
            <w:r w:rsidR="008C076F">
              <w:rPr>
                <w:rFonts w:hint="cs"/>
                <w:rtl/>
              </w:rPr>
              <w:t xml:space="preserve"> עד ליום ד' בניסן התשע"ז (31 במ</w:t>
            </w:r>
            <w:r>
              <w:rPr>
                <w:rFonts w:hint="cs"/>
                <w:rtl/>
              </w:rPr>
              <w:t>רס 2017)"</w:t>
            </w:r>
          </w:p>
        </w:tc>
      </w:tr>
      <w:tr w:rsidR="001E307B" w:rsidRPr="000F52C2" w:rsidTr="000A04B5">
        <w:trPr>
          <w:cantSplit/>
        </w:trPr>
        <w:tc>
          <w:tcPr>
            <w:tcW w:w="1871" w:type="dxa"/>
            <w:tcMar>
              <w:top w:w="91" w:type="dxa"/>
              <w:left w:w="0" w:type="dxa"/>
              <w:bottom w:w="91" w:type="dxa"/>
              <w:right w:w="0" w:type="dxa"/>
            </w:tcMar>
          </w:tcPr>
          <w:p w:rsidR="001E307B" w:rsidRPr="000F52C2" w:rsidRDefault="001E307B" w:rsidP="000A04B5">
            <w:pPr>
              <w:pStyle w:val="TableBlock"/>
              <w:rPr>
                <w:rtl/>
              </w:rPr>
            </w:pPr>
            <w:r w:rsidRPr="000F52C2">
              <w:rPr>
                <w:rtl/>
              </w:rPr>
              <w:t xml:space="preserve">תחילה </w:t>
            </w:r>
          </w:p>
        </w:tc>
        <w:tc>
          <w:tcPr>
            <w:tcW w:w="624" w:type="dxa"/>
            <w:tcMar>
              <w:top w:w="91" w:type="dxa"/>
              <w:left w:w="0" w:type="dxa"/>
              <w:bottom w:w="91" w:type="dxa"/>
              <w:right w:w="0" w:type="dxa"/>
            </w:tcMar>
          </w:tcPr>
          <w:p w:rsidR="001E307B" w:rsidRPr="000F52C2" w:rsidRDefault="001E307B" w:rsidP="000A04B5">
            <w:pPr>
              <w:pStyle w:val="TableBlock"/>
              <w:rPr>
                <w:rtl/>
              </w:rPr>
            </w:pPr>
            <w:r>
              <w:rPr>
                <w:rFonts w:hint="cs"/>
                <w:rtl/>
              </w:rPr>
              <w:t>5</w:t>
            </w:r>
            <w:r w:rsidRPr="000F52C2">
              <w:rPr>
                <w:rtl/>
              </w:rPr>
              <w:t>.</w:t>
            </w:r>
            <w:r w:rsidRPr="000F52C2">
              <w:rPr>
                <w:rtl/>
              </w:rPr>
              <w:tab/>
            </w:r>
          </w:p>
        </w:tc>
        <w:tc>
          <w:tcPr>
            <w:tcW w:w="7146" w:type="dxa"/>
            <w:gridSpan w:val="2"/>
            <w:tcMar>
              <w:top w:w="91" w:type="dxa"/>
              <w:left w:w="0" w:type="dxa"/>
              <w:bottom w:w="91" w:type="dxa"/>
              <w:right w:w="0" w:type="dxa"/>
            </w:tcMar>
          </w:tcPr>
          <w:p w:rsidR="001E307B" w:rsidRPr="000F52C2" w:rsidRDefault="001E307B" w:rsidP="000A04B5">
            <w:pPr>
              <w:pStyle w:val="TableBlock"/>
              <w:rPr>
                <w:rtl/>
              </w:rPr>
            </w:pPr>
            <w:r w:rsidRPr="000F52C2">
              <w:rPr>
                <w:rtl/>
              </w:rPr>
              <w:t xml:space="preserve">תחילתו של חוק זה ביום </w:t>
            </w:r>
            <w:r>
              <w:rPr>
                <w:rFonts w:hint="cs"/>
                <w:rtl/>
              </w:rPr>
              <w:t xml:space="preserve">י' בשבט התשע"ה </w:t>
            </w:r>
            <w:r w:rsidRPr="000F52C2">
              <w:rPr>
                <w:rtl/>
              </w:rPr>
              <w:t>(3</w:t>
            </w:r>
            <w:r>
              <w:rPr>
                <w:rtl/>
              </w:rPr>
              <w:t>0</w:t>
            </w:r>
            <w:r w:rsidRPr="000F52C2">
              <w:rPr>
                <w:rtl/>
              </w:rPr>
              <w:t xml:space="preserve"> בינואר</w:t>
            </w:r>
            <w:r>
              <w:rPr>
                <w:rtl/>
              </w:rPr>
              <w:t xml:space="preserve"> </w:t>
            </w:r>
            <w:r>
              <w:rPr>
                <w:rFonts w:hint="cs"/>
                <w:rtl/>
              </w:rPr>
              <w:t>2015</w:t>
            </w:r>
            <w:r w:rsidRPr="000F52C2">
              <w:rPr>
                <w:rtl/>
              </w:rPr>
              <w:t xml:space="preserve">). </w:t>
            </w:r>
          </w:p>
        </w:tc>
      </w:tr>
    </w:tbl>
    <w:p w:rsidR="001E307B" w:rsidRPr="00E125CC" w:rsidRDefault="001E307B" w:rsidP="001E307B">
      <w:pPr>
        <w:pStyle w:val="Noparagraphstyle"/>
        <w:spacing w:line="240" w:lineRule="auto"/>
        <w:rPr>
          <w:sz w:val="26"/>
          <w:rtl/>
        </w:rPr>
      </w:pPr>
    </w:p>
    <w:p w:rsidR="001E307B" w:rsidRPr="00AC5AB9" w:rsidRDefault="001E307B" w:rsidP="008C076F">
      <w:pPr>
        <w:pStyle w:val="HeadDivreiHesber"/>
        <w:spacing w:line="240" w:lineRule="auto"/>
        <w:rPr>
          <w:rtl/>
        </w:rPr>
      </w:pPr>
      <w:r w:rsidRPr="001A6A1B">
        <w:rPr>
          <w:rtl/>
          <w:lang w:eastAsia="en-US"/>
        </w:rPr>
        <w:t>דברי הסבר</w:t>
      </w:r>
    </w:p>
    <w:p w:rsidR="001E307B" w:rsidRPr="00D675B4" w:rsidRDefault="001E307B" w:rsidP="007E716D">
      <w:pPr>
        <w:pStyle w:val="Hesber"/>
        <w:rPr>
          <w:rtl/>
        </w:rPr>
      </w:pPr>
      <w:r w:rsidRPr="00D675B4">
        <w:rPr>
          <w:rtl/>
        </w:rPr>
        <w:t>חוק תאגידי מים וביוב, התשס"א</w:t>
      </w:r>
      <w:r w:rsidR="007E716D">
        <w:rPr>
          <w:rFonts w:hint="eastAsia"/>
          <w:rtl/>
        </w:rPr>
        <w:t>–</w:t>
      </w:r>
      <w:r w:rsidRPr="00D675B4">
        <w:rPr>
          <w:rtl/>
        </w:rPr>
        <w:t>2001</w:t>
      </w:r>
      <w:r w:rsidRPr="00D675B4">
        <w:rPr>
          <w:rFonts w:hint="cs"/>
          <w:rtl/>
        </w:rPr>
        <w:t xml:space="preserve"> </w:t>
      </w:r>
      <w:r w:rsidRPr="00D675B4">
        <w:rPr>
          <w:rtl/>
        </w:rPr>
        <w:t xml:space="preserve">(להלן – החוק), קובע בסעיף 6(א) כי אם רשות מקומית לא החליטה בתוך שלוש שנים מיום תחילתו של החוק להקים חברה למתן שירותי מים וביוב (להלן – חברה), רשאית מועצת הרשות הממשלתית שמונתה </w:t>
      </w:r>
      <w:r w:rsidR="00730E59" w:rsidRPr="00D675B4">
        <w:rPr>
          <w:rFonts w:hint="cs"/>
          <w:rtl/>
        </w:rPr>
        <w:t>לפי סעיף 124טו לחוק המים, התשי"ט</w:t>
      </w:r>
      <w:r w:rsidR="007E716D">
        <w:rPr>
          <w:rFonts w:hint="eastAsia"/>
          <w:rtl/>
        </w:rPr>
        <w:t>–</w:t>
      </w:r>
      <w:r w:rsidR="00730E59" w:rsidRPr="00D675B4">
        <w:rPr>
          <w:rFonts w:hint="cs"/>
          <w:rtl/>
        </w:rPr>
        <w:t xml:space="preserve">1959, </w:t>
      </w:r>
      <w:r w:rsidRPr="00D675B4">
        <w:rPr>
          <w:rtl/>
        </w:rPr>
        <w:t>להורות לה להקים חברה ולהעביר את משק המים של הרשות המקומית להפעלת החברה.</w:t>
      </w:r>
    </w:p>
    <w:p w:rsidR="001E307B" w:rsidRPr="00D675B4" w:rsidRDefault="001E307B" w:rsidP="007E716D">
      <w:pPr>
        <w:pStyle w:val="Hesber"/>
        <w:rPr>
          <w:rtl/>
        </w:rPr>
      </w:pPr>
      <w:r w:rsidRPr="00D675B4">
        <w:rPr>
          <w:rtl/>
        </w:rPr>
        <w:t>סעיף 6א לחוק קובע בסעיף קטן (א) כי בתום שש שנים מיום תחילתו של החוק רשות מקומית לא תפעי</w:t>
      </w:r>
      <w:r w:rsidR="008C076F">
        <w:rPr>
          <w:rtl/>
        </w:rPr>
        <w:t>ל את שירותי המים והביוב שבתחומה</w:t>
      </w:r>
      <w:r w:rsidRPr="00D675B4">
        <w:rPr>
          <w:rtl/>
        </w:rPr>
        <w:t xml:space="preserve"> אלא באמצעות חברה. בסעיף קטן (ג) של הסעיף האמור הוסמך שר הפנים</w:t>
      </w:r>
      <w:r w:rsidR="008C076F">
        <w:rPr>
          <w:rFonts w:hint="cs"/>
          <w:rtl/>
        </w:rPr>
        <w:t>,</w:t>
      </w:r>
      <w:r w:rsidRPr="00D675B4">
        <w:rPr>
          <w:rtl/>
        </w:rPr>
        <w:t xml:space="preserve"> בהסכמת שר האוצר </w:t>
      </w:r>
      <w:r w:rsidR="007E716D">
        <w:rPr>
          <w:rFonts w:hint="cs"/>
          <w:rtl/>
        </w:rPr>
        <w:t>ושר התשתיות הלאומיות</w:t>
      </w:r>
      <w:r w:rsidR="008C076F">
        <w:rPr>
          <w:rFonts w:hint="cs"/>
          <w:rtl/>
        </w:rPr>
        <w:t xml:space="preserve"> </w:t>
      </w:r>
      <w:r w:rsidRPr="00D675B4">
        <w:rPr>
          <w:rtl/>
        </w:rPr>
        <w:t>האנרגיה והמים, ובאישור ועדת הכלכלה של הכנסת, לפטור רשות מקומית מהחובה האמורה, אם נוכח כי קיימים טעמים מיוחדים לעשות כן.</w:t>
      </w:r>
    </w:p>
    <w:p w:rsidR="001E307B" w:rsidRPr="00D675B4" w:rsidRDefault="001E307B" w:rsidP="008C076F">
      <w:pPr>
        <w:pStyle w:val="Hesber"/>
        <w:rPr>
          <w:rtl/>
        </w:rPr>
      </w:pPr>
      <w:r w:rsidRPr="00D675B4">
        <w:rPr>
          <w:rtl/>
        </w:rPr>
        <w:t>שש שנים ממועד תחילתו של החוק חלפו ביום ט"ז באב התשס"ז (31 ביולי 2007) . במועד זה אמורות היו כל הרשויות המקומיות בישראל לחדול מאספקת שירותי מים וביוב בעצמן ולעשות כן באמצעות חברות. בפועל, עד היום, הוקמו 55 חברות אשר מאגדות כ</w:t>
      </w:r>
      <w:r w:rsidR="008C076F">
        <w:rPr>
          <w:rFonts w:hint="cs"/>
          <w:rtl/>
        </w:rPr>
        <w:t>-</w:t>
      </w:r>
      <w:r w:rsidRPr="00D675B4">
        <w:rPr>
          <w:rtl/>
        </w:rPr>
        <w:t>140 רשויות מקומיות ויש כ</w:t>
      </w:r>
      <w:r w:rsidR="008C076F">
        <w:rPr>
          <w:rFonts w:hint="cs"/>
          <w:rtl/>
        </w:rPr>
        <w:t>-</w:t>
      </w:r>
      <w:r w:rsidRPr="00D675B4">
        <w:rPr>
          <w:rtl/>
        </w:rPr>
        <w:t>40 רשויות מקומיות אשר טרם הקימו חברה כאמור.</w:t>
      </w:r>
    </w:p>
    <w:p w:rsidR="00730E59" w:rsidRPr="00D675B4" w:rsidRDefault="00730E59" w:rsidP="008C076F">
      <w:pPr>
        <w:pStyle w:val="Hesber"/>
        <w:rPr>
          <w:rtl/>
        </w:rPr>
      </w:pPr>
      <w:r w:rsidRPr="00D675B4">
        <w:rPr>
          <w:rFonts w:hint="cs"/>
          <w:rtl/>
        </w:rPr>
        <w:t>ה</w:t>
      </w:r>
      <w:r w:rsidR="001E307B" w:rsidRPr="00D675B4">
        <w:rPr>
          <w:rtl/>
        </w:rPr>
        <w:t>חוק לשינוי סדרי עדיפויות לאומיים (תיקוני חקיקה להשגת יעדי התקציב לשנים 2013 ו</w:t>
      </w:r>
      <w:r w:rsidR="008C076F">
        <w:rPr>
          <w:rFonts w:hint="cs"/>
          <w:rtl/>
        </w:rPr>
        <w:t>-</w:t>
      </w:r>
      <w:r w:rsidR="001E307B" w:rsidRPr="00D675B4">
        <w:rPr>
          <w:rtl/>
        </w:rPr>
        <w:t>2014</w:t>
      </w:r>
      <w:r w:rsidR="001E307B" w:rsidRPr="00D675B4">
        <w:rPr>
          <w:rFonts w:hint="cs"/>
          <w:rtl/>
        </w:rPr>
        <w:t xml:space="preserve">), </w:t>
      </w:r>
      <w:r w:rsidR="001E307B" w:rsidRPr="00D675B4">
        <w:rPr>
          <w:rtl/>
        </w:rPr>
        <w:t>התשע"ג</w:t>
      </w:r>
      <w:r w:rsidR="007E716D">
        <w:rPr>
          <w:rFonts w:hint="cs"/>
          <w:rtl/>
        </w:rPr>
        <w:t>–</w:t>
      </w:r>
      <w:r w:rsidR="001E307B" w:rsidRPr="00D675B4">
        <w:rPr>
          <w:rtl/>
        </w:rPr>
        <w:t>2013</w:t>
      </w:r>
      <w:r w:rsidR="001E307B" w:rsidRPr="00D675B4">
        <w:rPr>
          <w:rFonts w:hint="cs"/>
          <w:rtl/>
        </w:rPr>
        <w:t>,</w:t>
      </w:r>
      <w:r w:rsidR="001E307B" w:rsidRPr="00D675B4">
        <w:rPr>
          <w:rtl/>
        </w:rPr>
        <w:t xml:space="preserve"> ק</w:t>
      </w:r>
      <w:r w:rsidR="001E307B" w:rsidRPr="00D675B4">
        <w:rPr>
          <w:rFonts w:hint="cs"/>
          <w:rtl/>
        </w:rPr>
        <w:t>ו</w:t>
      </w:r>
      <w:r w:rsidR="001E307B" w:rsidRPr="00D675B4">
        <w:rPr>
          <w:rtl/>
        </w:rPr>
        <w:t xml:space="preserve">בע, כי המועד האחרון לרשות מקומית להקים חברה או להצטרף לחברה קיימת ולהעביר לאותה חברה את הפעלת משק המים והביוב שלה הוא יום כ"ט בשבט התשע"ד (30 בינואר 2014). </w:t>
      </w:r>
    </w:p>
    <w:p w:rsidR="001E307B" w:rsidRPr="00D675B4" w:rsidRDefault="001E307B" w:rsidP="00D675B4">
      <w:pPr>
        <w:pStyle w:val="Hesber"/>
      </w:pPr>
    </w:p>
    <w:p w:rsidR="00D675B4" w:rsidRPr="00D675B4" w:rsidRDefault="00D675B4" w:rsidP="007E716D">
      <w:pPr>
        <w:pStyle w:val="Hesber"/>
        <w:rPr>
          <w:rtl/>
        </w:rPr>
      </w:pPr>
      <w:r w:rsidRPr="00D675B4">
        <w:rPr>
          <w:rtl/>
        </w:rPr>
        <w:t>בחוק תאגידי מים וביוב (תיקון מס' 7), התשע"ד</w:t>
      </w:r>
      <w:r w:rsidR="007E716D">
        <w:rPr>
          <w:rFonts w:hint="cs"/>
          <w:rtl/>
        </w:rPr>
        <w:t>–</w:t>
      </w:r>
      <w:r w:rsidRPr="00D675B4">
        <w:rPr>
          <w:rtl/>
        </w:rPr>
        <w:t>2014, בעקבות הבחירות הכלליות לרשויות המקומיות, שנערכו בשלהי 2013, ועל מנת לתת  לראשי הרשויות החדשים שהות מספקת להכיר את מבנה משק המים העירוני המקומי, תוקן סעיף 6א לחוק (האוסר הפעלה עצמית של שירותי המים והביוב) ונדחה המועד האחרון להקמת חברה, עד סוף שנת 2014. בהתאמה לכך, נדחה עד סוף שנת 2014 גם המועד הנקוב בהגדרה "רשות מקומית בלא חברה" וכן המועד הנקוב בהגדרה "המועד הקובע" לגבי רשות מקומית בלא חברה, שבסעיף 2 לחוק.</w:t>
      </w:r>
    </w:p>
    <w:p w:rsidR="00E13C27" w:rsidRDefault="00D675B4" w:rsidP="007E716D">
      <w:pPr>
        <w:pStyle w:val="Hesber"/>
        <w:rPr>
          <w:rtl/>
        </w:rPr>
      </w:pPr>
      <w:r w:rsidRPr="00D675B4">
        <w:rPr>
          <w:rtl/>
        </w:rPr>
        <w:t xml:space="preserve">מוצע לדחות בשנה נוספת את המועד האחרון שבו על רשות מקומית להקים חברה או להצטרף לחברה קיימת ולהעביר לה את הפעלת משק המים והביוב שלה, זאת על רקע הקמת ועדה בין משרדית לבחינה מעמיקה וכוללת של משק המים העירוני בכללו, ונושא חובת התיאגוד בפרט. ועדה זו שוקדת בימים אלה על </w:t>
      </w:r>
      <w:r w:rsidR="00CF0BF3" w:rsidRPr="00D675B4">
        <w:rPr>
          <w:rFonts w:hint="cs"/>
          <w:rtl/>
        </w:rPr>
        <w:t>מתווה</w:t>
      </w:r>
      <w:r w:rsidRPr="00D675B4">
        <w:rPr>
          <w:rtl/>
        </w:rPr>
        <w:t xml:space="preserve"> חדש להסדרת משק המים העירוני, ועל כן אין טעם בהמשך מהלך כפיית התיאגוד בשלב זה.</w:t>
      </w:r>
    </w:p>
    <w:p w:rsidR="007E716D" w:rsidRDefault="007E716D" w:rsidP="007E716D">
      <w:pPr>
        <w:pStyle w:val="Hesber"/>
        <w:rPr>
          <w:rtl/>
        </w:rPr>
      </w:pPr>
    </w:p>
    <w:p w:rsidR="008C076F" w:rsidRDefault="008C076F" w:rsidP="007E716D">
      <w:pPr>
        <w:pStyle w:val="Hesber"/>
        <w:rPr>
          <w:rtl/>
        </w:rPr>
      </w:pPr>
    </w:p>
    <w:p w:rsidR="008C076F" w:rsidRDefault="008C076F" w:rsidP="007E716D">
      <w:pPr>
        <w:pStyle w:val="Hesber"/>
        <w:rPr>
          <w:rtl/>
        </w:rPr>
      </w:pPr>
    </w:p>
    <w:p w:rsidR="008C076F" w:rsidRDefault="008C076F" w:rsidP="007E716D">
      <w:pPr>
        <w:pStyle w:val="Hesber"/>
        <w:rPr>
          <w:rtl/>
        </w:rPr>
      </w:pPr>
    </w:p>
    <w:p w:rsidR="008C076F" w:rsidRDefault="008C076F" w:rsidP="007E716D">
      <w:pPr>
        <w:pStyle w:val="Hesber"/>
        <w:rPr>
          <w:rtl/>
        </w:rPr>
      </w:pPr>
    </w:p>
    <w:p w:rsidR="007E716D" w:rsidRDefault="007E716D" w:rsidP="007E716D">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rsidR="007E716D" w:rsidRDefault="007E716D" w:rsidP="007E716D">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rsidR="007E716D" w:rsidRDefault="007E716D" w:rsidP="007E716D">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rsidR="007E716D" w:rsidRDefault="007E716D" w:rsidP="007E716D">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י' בחשוון התשע"ה – 3.11.14</w:t>
      </w:r>
    </w:p>
    <w:p w:rsidR="007E716D" w:rsidRPr="00D675B4" w:rsidRDefault="007E716D" w:rsidP="007E716D">
      <w:pPr>
        <w:pStyle w:val="Hesber"/>
        <w:rPr>
          <w:rtl/>
        </w:rPr>
      </w:pPr>
    </w:p>
    <w:sectPr w:rsidR="007E716D" w:rsidRPr="00D675B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86" w:rsidRDefault="00681A86">
      <w:r>
        <w:separator/>
      </w:r>
    </w:p>
  </w:endnote>
  <w:endnote w:type="continuationSeparator" w:id="0">
    <w:p w:rsidR="00681A86" w:rsidRDefault="0068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AB35FD">
      <w:rPr>
        <w:rStyle w:val="ab"/>
        <w:noProof/>
        <w:rtl/>
      </w:rPr>
      <w:t>3</w:t>
    </w:r>
    <w:r>
      <w:rPr>
        <w:rStyle w:val="ab"/>
        <w:rtl/>
      </w:rPr>
      <w:fldChar w:fldCharType="end"/>
    </w:r>
  </w:p>
  <w:p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86" w:rsidRDefault="00681A86">
      <w:r>
        <w:separator/>
      </w:r>
    </w:p>
  </w:footnote>
  <w:footnote w:type="continuationSeparator" w:id="0">
    <w:p w:rsidR="00681A86" w:rsidRDefault="00681A86">
      <w:r>
        <w:continuationSeparator/>
      </w:r>
    </w:p>
  </w:footnote>
  <w:footnote w:type="continuationNotice" w:id="1">
    <w:p w:rsidR="00681A86" w:rsidRDefault="00681A86"/>
  </w:footnote>
  <w:footnote w:id="2">
    <w:p w:rsidR="001E307B" w:rsidRDefault="001E307B" w:rsidP="001E307B">
      <w:pPr>
        <w:pStyle w:val="a4"/>
        <w:rPr>
          <w:rtl/>
        </w:rPr>
      </w:pPr>
      <w:r>
        <w:rPr>
          <w:rStyle w:val="a6"/>
        </w:rPr>
        <w:footnoteRef/>
      </w:r>
      <w:r>
        <w:rPr>
          <w:rtl/>
        </w:rPr>
        <w:t xml:space="preserve"> ס"ח התשס"א, עמ' 454</w:t>
      </w:r>
      <w:r>
        <w:rPr>
          <w:rFonts w:hint="cs"/>
          <w:rtl/>
        </w:rPr>
        <w:t>.</w:t>
      </w:r>
    </w:p>
  </w:footnote>
  <w:footnote w:id="3">
    <w:p w:rsidR="001E307B" w:rsidRDefault="001E307B" w:rsidP="001E307B">
      <w:pPr>
        <w:pStyle w:val="a4"/>
      </w:pPr>
      <w:r>
        <w:rPr>
          <w:rStyle w:val="a6"/>
        </w:rPr>
        <w:footnoteRef/>
      </w:r>
      <w:r>
        <w:rPr>
          <w:rtl/>
        </w:rPr>
        <w:t xml:space="preserve"> ס"ח התשע"ג, עמ' 116</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8236lsCopyOriginal.docx"/>
    <w:docVar w:name="StartMode" w:val="2"/>
  </w:docVars>
  <w:rsids>
    <w:rsidRoot w:val="00DB7060"/>
    <w:rsid w:val="00015B27"/>
    <w:rsid w:val="000A542E"/>
    <w:rsid w:val="001207F8"/>
    <w:rsid w:val="00121924"/>
    <w:rsid w:val="001279A8"/>
    <w:rsid w:val="0014195F"/>
    <w:rsid w:val="00152609"/>
    <w:rsid w:val="00153E1B"/>
    <w:rsid w:val="001A0623"/>
    <w:rsid w:val="001C23B0"/>
    <w:rsid w:val="001E307B"/>
    <w:rsid w:val="00203A7F"/>
    <w:rsid w:val="002200A1"/>
    <w:rsid w:val="002362BF"/>
    <w:rsid w:val="00241B97"/>
    <w:rsid w:val="00254605"/>
    <w:rsid w:val="002728B4"/>
    <w:rsid w:val="00291BD6"/>
    <w:rsid w:val="00292712"/>
    <w:rsid w:val="002C2E29"/>
    <w:rsid w:val="003232A2"/>
    <w:rsid w:val="003710F6"/>
    <w:rsid w:val="00386E88"/>
    <w:rsid w:val="003D74A0"/>
    <w:rsid w:val="004033D8"/>
    <w:rsid w:val="004D3876"/>
    <w:rsid w:val="004D4756"/>
    <w:rsid w:val="004E4552"/>
    <w:rsid w:val="00502178"/>
    <w:rsid w:val="00553C9D"/>
    <w:rsid w:val="005B064E"/>
    <w:rsid w:val="005D51AE"/>
    <w:rsid w:val="00644940"/>
    <w:rsid w:val="0065640F"/>
    <w:rsid w:val="006818A9"/>
    <w:rsid w:val="00681A86"/>
    <w:rsid w:val="006C1D0D"/>
    <w:rsid w:val="0070601E"/>
    <w:rsid w:val="00730E59"/>
    <w:rsid w:val="00765F66"/>
    <w:rsid w:val="007D5A12"/>
    <w:rsid w:val="007E59F9"/>
    <w:rsid w:val="007E716D"/>
    <w:rsid w:val="00810BCD"/>
    <w:rsid w:val="00812C98"/>
    <w:rsid w:val="00814D92"/>
    <w:rsid w:val="00892135"/>
    <w:rsid w:val="00895449"/>
    <w:rsid w:val="00897879"/>
    <w:rsid w:val="008C076F"/>
    <w:rsid w:val="008C2DDC"/>
    <w:rsid w:val="008F0D63"/>
    <w:rsid w:val="008F2C35"/>
    <w:rsid w:val="0091204F"/>
    <w:rsid w:val="009203DB"/>
    <w:rsid w:val="00943386"/>
    <w:rsid w:val="00957589"/>
    <w:rsid w:val="00982412"/>
    <w:rsid w:val="00A26BD6"/>
    <w:rsid w:val="00A82CB7"/>
    <w:rsid w:val="00AB35FD"/>
    <w:rsid w:val="00AC36F7"/>
    <w:rsid w:val="00B35784"/>
    <w:rsid w:val="00BC45FB"/>
    <w:rsid w:val="00C9176A"/>
    <w:rsid w:val="00CF0BF3"/>
    <w:rsid w:val="00D675B4"/>
    <w:rsid w:val="00D867D7"/>
    <w:rsid w:val="00D95234"/>
    <w:rsid w:val="00DB7060"/>
    <w:rsid w:val="00DE3153"/>
    <w:rsid w:val="00E13C27"/>
    <w:rsid w:val="00E33BBD"/>
    <w:rsid w:val="00E45103"/>
    <w:rsid w:val="00E665B9"/>
    <w:rsid w:val="00EA01E6"/>
    <w:rsid w:val="00EA2892"/>
    <w:rsid w:val="00EA758F"/>
    <w:rsid w:val="00EB2033"/>
    <w:rsid w:val="00ED4A6F"/>
    <w:rsid w:val="00EF3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uiPriority w:val="99"/>
    <w:rsid w:val="00943386"/>
    <w:pPr>
      <w:spacing w:line="240" w:lineRule="auto"/>
      <w:ind w:left="227" w:hanging="227"/>
    </w:pPr>
    <w:rPr>
      <w:sz w:val="14"/>
      <w:szCs w:val="20"/>
    </w:rPr>
  </w:style>
  <w:style w:type="character" w:styleId="a6">
    <w:name w:val="footnote reference"/>
    <w:uiPriority w:val="99"/>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rsid w:val="001E307B"/>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uiPriority w:val="99"/>
    <w:rsid w:val="00943386"/>
    <w:pPr>
      <w:spacing w:line="240" w:lineRule="auto"/>
      <w:ind w:left="227" w:hanging="227"/>
    </w:pPr>
    <w:rPr>
      <w:sz w:val="14"/>
      <w:szCs w:val="20"/>
    </w:rPr>
  </w:style>
  <w:style w:type="character" w:styleId="a6">
    <w:name w:val="footnote reference"/>
    <w:uiPriority w:val="99"/>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rsid w:val="001E307B"/>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25204">
      <w:bodyDiv w:val="1"/>
      <w:marLeft w:val="0"/>
      <w:marRight w:val="0"/>
      <w:marTop w:val="0"/>
      <w:marBottom w:val="0"/>
      <w:divBdr>
        <w:top w:val="none" w:sz="0" w:space="0" w:color="auto"/>
        <w:left w:val="none" w:sz="0" w:space="0" w:color="auto"/>
        <w:bottom w:val="none" w:sz="0" w:space="0" w:color="auto"/>
        <w:right w:val="none" w:sz="0" w:space="0" w:color="auto"/>
      </w:divBdr>
    </w:div>
    <w:div w:id="2101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4EB9DDE4-E421-4EAF-88C9-9CB43593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3339</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subject/>
  <dc:creator>שרית מזוז</dc:creator>
  <cp:keywords/>
  <dc:description/>
  <cp:lastModifiedBy>לילך יעיש</cp:lastModifiedBy>
  <cp:revision>2</cp:revision>
  <cp:lastPrinted>2014-10-30T07:37:00Z</cp:lastPrinted>
  <dcterms:created xsi:type="dcterms:W3CDTF">2014-10-30T07:44:00Z</dcterms:created>
  <dcterms:modified xsi:type="dcterms:W3CDTF">2014-10-30T07:44:00Z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