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495F22" w:rsidRDefault="004033D8" w:rsidP="002C2E29">
      <w:pPr>
        <w:pStyle w:val="HeadHatzaotHok"/>
        <w:jc w:val="right"/>
        <w:rPr>
          <w:b w:val="0"/>
          <w:bCs w:val="0"/>
          <w:szCs w:val="20"/>
        </w:rPr>
      </w:pPr>
      <w:bookmarkStart w:id="0" w:name="_GoBack"/>
      <w:bookmarkEnd w:id="0"/>
      <w:r w:rsidRPr="00495F22">
        <w:rPr>
          <w:rFonts w:hint="cs"/>
          <w:b w:val="0"/>
          <w:bCs w:val="0"/>
          <w:szCs w:val="20"/>
          <w:rtl/>
        </w:rPr>
        <w:t xml:space="preserve">מספר פנימי: </w:t>
      </w:r>
      <w:bookmarkStart w:id="1" w:name="ItemID"/>
      <w:r w:rsidR="00E0001E" w:rsidRPr="00495F22">
        <w:rPr>
          <w:b w:val="0"/>
          <w:bCs w:val="0"/>
          <w:szCs w:val="20"/>
          <w:rtl/>
        </w:rPr>
        <w:t>556197</w:t>
      </w:r>
      <w:bookmarkEnd w:id="1"/>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2" w:name="KnessetNum"/>
      <w:r w:rsidR="00E0001E" w:rsidRPr="00E0001E">
        <w:rPr>
          <w:sz w:val="28"/>
          <w:szCs w:val="28"/>
          <w:rtl/>
        </w:rPr>
        <w:t>התשע-עשרה</w:t>
      </w:r>
      <w:bookmarkEnd w:id="2"/>
    </w:p>
    <w:p w:rsidR="00E13C27" w:rsidRDefault="00E13C27" w:rsidP="00E13C27">
      <w:pPr>
        <w:rPr>
          <w:rFonts w:cs="David"/>
          <w:sz w:val="26"/>
          <w:szCs w:val="26"/>
          <w:rtl/>
        </w:rPr>
      </w:pPr>
    </w:p>
    <w:p w:rsidR="00E0001E" w:rsidRPr="004531B4" w:rsidRDefault="00E0001E" w:rsidP="0091204F">
      <w:pPr>
        <w:pStyle w:val="David"/>
        <w:ind w:left="2880" w:firstLine="663"/>
        <w:rPr>
          <w:b/>
          <w:bCs/>
        </w:rPr>
      </w:pPr>
      <w:bookmarkStart w:id="3" w:name="MKsSingleOrMulti"/>
      <w:r w:rsidRPr="004531B4">
        <w:rPr>
          <w:b/>
          <w:bCs/>
          <w:rtl/>
        </w:rPr>
        <w:t>יוזמים:      חברי הכנסת</w:t>
      </w:r>
      <w:bookmarkEnd w:id="3"/>
      <w:r w:rsidR="00B35784" w:rsidRPr="004531B4">
        <w:rPr>
          <w:b/>
          <w:bCs/>
        </w:rPr>
        <w:tab/>
      </w:r>
      <w:bookmarkStart w:id="4" w:name="MKs"/>
      <w:r w:rsidRPr="004531B4">
        <w:rPr>
          <w:b/>
          <w:bCs/>
          <w:rtl/>
        </w:rPr>
        <w:t>מירי רגב</w:t>
      </w:r>
    </w:p>
    <w:p w:rsidR="00E0001E" w:rsidRPr="004531B4" w:rsidRDefault="00E0001E" w:rsidP="0091204F">
      <w:pPr>
        <w:pStyle w:val="David"/>
        <w:ind w:left="2880" w:firstLine="663"/>
        <w:rPr>
          <w:b/>
          <w:bCs/>
        </w:rPr>
      </w:pPr>
      <w:r w:rsidRPr="004531B4">
        <w:rPr>
          <w:b/>
          <w:bCs/>
        </w:rPr>
        <w:tab/>
      </w:r>
      <w:r w:rsidRPr="004531B4">
        <w:rPr>
          <w:b/>
          <w:bCs/>
        </w:rPr>
        <w:tab/>
      </w:r>
      <w:r w:rsidRPr="004531B4">
        <w:rPr>
          <w:b/>
          <w:bCs/>
        </w:rPr>
        <w:tab/>
      </w:r>
      <w:r w:rsidRPr="004531B4">
        <w:rPr>
          <w:b/>
          <w:bCs/>
        </w:rPr>
        <w:tab/>
      </w:r>
      <w:r w:rsidRPr="004531B4">
        <w:rPr>
          <w:b/>
          <w:bCs/>
        </w:rPr>
        <w:tab/>
      </w:r>
      <w:r w:rsidRPr="004531B4">
        <w:rPr>
          <w:b/>
          <w:bCs/>
          <w:rtl/>
        </w:rPr>
        <w:t>דוד אזולאי</w:t>
      </w:r>
    </w:p>
    <w:p w:rsidR="00E0001E" w:rsidRPr="004531B4" w:rsidRDefault="00E0001E" w:rsidP="0091204F">
      <w:pPr>
        <w:pStyle w:val="David"/>
        <w:ind w:left="2880" w:firstLine="663"/>
        <w:rPr>
          <w:b/>
          <w:bCs/>
        </w:rPr>
      </w:pPr>
      <w:r w:rsidRPr="004531B4">
        <w:rPr>
          <w:b/>
          <w:bCs/>
        </w:rPr>
        <w:tab/>
      </w:r>
      <w:r w:rsidRPr="004531B4">
        <w:rPr>
          <w:b/>
          <w:bCs/>
        </w:rPr>
        <w:tab/>
      </w:r>
      <w:r w:rsidRPr="004531B4">
        <w:rPr>
          <w:b/>
          <w:bCs/>
        </w:rPr>
        <w:tab/>
      </w:r>
      <w:r w:rsidRPr="004531B4">
        <w:rPr>
          <w:b/>
          <w:bCs/>
        </w:rPr>
        <w:tab/>
      </w:r>
      <w:r w:rsidRPr="004531B4">
        <w:rPr>
          <w:b/>
          <w:bCs/>
        </w:rPr>
        <w:tab/>
      </w:r>
      <w:r w:rsidRPr="004531B4">
        <w:rPr>
          <w:b/>
          <w:bCs/>
          <w:rtl/>
        </w:rPr>
        <w:t>משה גפני</w:t>
      </w:r>
    </w:p>
    <w:p w:rsidR="00E0001E" w:rsidRPr="004531B4" w:rsidRDefault="00E0001E" w:rsidP="0091204F">
      <w:pPr>
        <w:pStyle w:val="David"/>
        <w:ind w:left="2880" w:firstLine="663"/>
        <w:rPr>
          <w:b/>
          <w:bCs/>
        </w:rPr>
      </w:pPr>
      <w:r w:rsidRPr="004531B4">
        <w:rPr>
          <w:b/>
          <w:bCs/>
        </w:rPr>
        <w:tab/>
      </w:r>
      <w:r w:rsidRPr="004531B4">
        <w:rPr>
          <w:b/>
          <w:bCs/>
        </w:rPr>
        <w:tab/>
      </w:r>
      <w:r w:rsidRPr="004531B4">
        <w:rPr>
          <w:b/>
          <w:bCs/>
        </w:rPr>
        <w:tab/>
      </w:r>
      <w:r w:rsidRPr="004531B4">
        <w:rPr>
          <w:b/>
          <w:bCs/>
        </w:rPr>
        <w:tab/>
      </w:r>
      <w:r w:rsidRPr="004531B4">
        <w:rPr>
          <w:b/>
          <w:bCs/>
        </w:rPr>
        <w:tab/>
      </w:r>
      <w:r w:rsidRPr="004531B4">
        <w:rPr>
          <w:b/>
          <w:bCs/>
          <w:rtl/>
        </w:rPr>
        <w:t>דוד צור</w:t>
      </w:r>
    </w:p>
    <w:p w:rsidR="00E0001E" w:rsidRPr="004531B4" w:rsidRDefault="00E0001E" w:rsidP="0091204F">
      <w:pPr>
        <w:pStyle w:val="David"/>
        <w:ind w:left="2880" w:firstLine="663"/>
        <w:rPr>
          <w:b/>
          <w:bCs/>
        </w:rPr>
      </w:pPr>
      <w:r w:rsidRPr="004531B4">
        <w:rPr>
          <w:b/>
          <w:bCs/>
        </w:rPr>
        <w:tab/>
      </w:r>
      <w:r w:rsidRPr="004531B4">
        <w:rPr>
          <w:b/>
          <w:bCs/>
        </w:rPr>
        <w:tab/>
      </w:r>
      <w:r w:rsidRPr="004531B4">
        <w:rPr>
          <w:b/>
          <w:bCs/>
        </w:rPr>
        <w:tab/>
      </w:r>
      <w:r w:rsidRPr="004531B4">
        <w:rPr>
          <w:b/>
          <w:bCs/>
        </w:rPr>
        <w:tab/>
      </w:r>
      <w:r w:rsidRPr="004531B4">
        <w:rPr>
          <w:b/>
          <w:bCs/>
        </w:rPr>
        <w:tab/>
      </w:r>
      <w:r w:rsidRPr="004531B4">
        <w:rPr>
          <w:b/>
          <w:bCs/>
          <w:rtl/>
        </w:rPr>
        <w:t>דוד רותם</w:t>
      </w:r>
    </w:p>
    <w:p w:rsidR="00E13C27" w:rsidRPr="004531B4" w:rsidRDefault="00E0001E" w:rsidP="0091204F">
      <w:pPr>
        <w:pStyle w:val="David"/>
        <w:ind w:left="2880" w:firstLine="663"/>
        <w:rPr>
          <w:b/>
          <w:bCs/>
          <w:rtl/>
        </w:rPr>
      </w:pPr>
      <w:r w:rsidRPr="004531B4">
        <w:rPr>
          <w:b/>
          <w:bCs/>
        </w:rPr>
        <w:tab/>
      </w:r>
      <w:r w:rsidRPr="004531B4">
        <w:rPr>
          <w:b/>
          <w:bCs/>
        </w:rPr>
        <w:tab/>
      </w:r>
      <w:r w:rsidRPr="004531B4">
        <w:rPr>
          <w:b/>
          <w:bCs/>
        </w:rPr>
        <w:tab/>
      </w:r>
      <w:r w:rsidRPr="004531B4">
        <w:rPr>
          <w:b/>
          <w:bCs/>
        </w:rPr>
        <w:tab/>
      </w:r>
      <w:r w:rsidRPr="004531B4">
        <w:rPr>
          <w:b/>
          <w:bCs/>
        </w:rPr>
        <w:tab/>
      </w:r>
      <w:r w:rsidRPr="004531B4">
        <w:rPr>
          <w:b/>
          <w:bCs/>
          <w:rtl/>
        </w:rPr>
        <w:t>זבולון כלפה</w:t>
      </w:r>
      <w:bookmarkEnd w:id="4"/>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5" w:name="MKsSingleOrMulti1"/>
      <w:bookmarkEnd w:id="5"/>
      <w:r w:rsidR="002200A1">
        <w:rPr>
          <w:rFonts w:cs="David" w:hint="cs"/>
          <w:sz w:val="26"/>
          <w:szCs w:val="26"/>
          <w:rtl/>
        </w:rPr>
        <w:tab/>
      </w:r>
      <w:bookmarkStart w:id="6" w:name="MKs1"/>
      <w:bookmarkEnd w:id="6"/>
    </w:p>
    <w:p w:rsidR="00495F22" w:rsidRDefault="0014195F" w:rsidP="004531B4">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4A78BF14" wp14:editId="15474ADE">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7" w:name="LawNum"/>
      <w:r w:rsidR="006F05BA" w:rsidRPr="006F05BA">
        <w:rPr>
          <w:rFonts w:cs="David"/>
          <w:sz w:val="26"/>
          <w:szCs w:val="26"/>
          <w:rtl/>
        </w:rPr>
        <w:t>פ/2671/19</w:t>
      </w:r>
      <w:bookmarkEnd w:id="7"/>
    </w:p>
    <w:p w:rsidR="00E13C27" w:rsidRDefault="00E13C27" w:rsidP="004531B4">
      <w:pPr>
        <w:ind w:left="2919" w:firstLine="720"/>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p>
    <w:p w:rsidR="00E13C27" w:rsidRDefault="0083628B" w:rsidP="00495F22">
      <w:pPr>
        <w:pStyle w:val="HeadHatzaotHok"/>
        <w:tabs>
          <w:tab w:val="left" w:pos="4071"/>
          <w:tab w:val="center" w:pos="4819"/>
        </w:tabs>
        <w:spacing w:before="0"/>
        <w:rPr>
          <w:sz w:val="26"/>
          <w:rtl/>
        </w:rPr>
      </w:pPr>
      <w:bookmarkStart w:id="8" w:name="Title"/>
      <w:r w:rsidRPr="0083628B">
        <w:rPr>
          <w:sz w:val="26"/>
          <w:rtl/>
        </w:rPr>
        <w:t>הצעת חוק הרשויות המקומיות (בחירת ראש הרשות וסגניו וכהונתם)</w:t>
      </w:r>
      <w:r w:rsidR="00495F22">
        <w:rPr>
          <w:rFonts w:hint="cs"/>
          <w:sz w:val="26"/>
          <w:rtl/>
        </w:rPr>
        <w:t xml:space="preserve"> </w:t>
      </w:r>
      <w:r w:rsidRPr="0083628B">
        <w:rPr>
          <w:sz w:val="26"/>
          <w:rtl/>
        </w:rPr>
        <w:t xml:space="preserve">(תיקון </w:t>
      </w:r>
      <w:r w:rsidR="00495F22">
        <w:rPr>
          <w:rFonts w:hint="cs"/>
          <w:sz w:val="26"/>
          <w:rtl/>
        </w:rPr>
        <w:t>–</w:t>
      </w:r>
      <w:r w:rsidRPr="0083628B">
        <w:rPr>
          <w:sz w:val="26"/>
          <w:rtl/>
        </w:rPr>
        <w:t xml:space="preserve"> שינוי מספר הסגנים במקרים מסוימים), התשע"ד</w:t>
      </w:r>
      <w:r w:rsidR="00495F22">
        <w:rPr>
          <w:rFonts w:hint="cs"/>
          <w:sz w:val="26"/>
          <w:rtl/>
        </w:rPr>
        <w:t>–</w:t>
      </w:r>
      <w:r w:rsidRPr="0083628B">
        <w:rPr>
          <w:sz w:val="26"/>
          <w:rtl/>
        </w:rPr>
        <w:t>2014</w:t>
      </w:r>
      <w:bookmarkEnd w:id="8"/>
    </w:p>
    <w:p w:rsidR="00495F22" w:rsidRDefault="00495F22" w:rsidP="00495F22">
      <w:pPr>
        <w:pStyle w:val="HeadHatzaotHok"/>
        <w:tabs>
          <w:tab w:val="left" w:pos="4071"/>
          <w:tab w:val="center" w:pos="4819"/>
        </w:tabs>
        <w:spacing w:before="0"/>
        <w:rPr>
          <w:sz w:val="26"/>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335E80" w:rsidRPr="00335E80" w:rsidTr="004531B4">
        <w:trPr>
          <w:cantSplit/>
        </w:trPr>
        <w:tc>
          <w:tcPr>
            <w:tcW w:w="1871" w:type="dxa"/>
          </w:tcPr>
          <w:p w:rsidR="00335E80" w:rsidRPr="004531B4" w:rsidRDefault="00335E80" w:rsidP="004531B4">
            <w:pPr>
              <w:pStyle w:val="TableSideHeading"/>
              <w:ind w:right="0"/>
            </w:pPr>
            <w:r w:rsidRPr="004531B4">
              <w:rPr>
                <w:rFonts w:hint="cs"/>
                <w:rtl/>
              </w:rPr>
              <w:t>תיקון סעיף 15</w:t>
            </w:r>
          </w:p>
        </w:tc>
        <w:tc>
          <w:tcPr>
            <w:tcW w:w="624" w:type="dxa"/>
          </w:tcPr>
          <w:p w:rsidR="00335E80" w:rsidRPr="004531B4" w:rsidRDefault="00335E80" w:rsidP="004531B4">
            <w:pPr>
              <w:pStyle w:val="TableText"/>
              <w:ind w:right="0"/>
              <w:jc w:val="both"/>
            </w:pPr>
            <w:r w:rsidRPr="004531B4">
              <w:rPr>
                <w:rFonts w:hint="cs"/>
                <w:rtl/>
              </w:rPr>
              <w:t>1.</w:t>
            </w:r>
          </w:p>
        </w:tc>
        <w:tc>
          <w:tcPr>
            <w:tcW w:w="7143" w:type="dxa"/>
          </w:tcPr>
          <w:p w:rsidR="00335E80" w:rsidRPr="004531B4" w:rsidRDefault="00335E80" w:rsidP="00495F22">
            <w:pPr>
              <w:pStyle w:val="TableBlock"/>
              <w:rPr>
                <w:rtl/>
              </w:rPr>
            </w:pPr>
            <w:r w:rsidRPr="004531B4">
              <w:rPr>
                <w:rFonts w:hint="cs"/>
                <w:rtl/>
              </w:rPr>
              <w:t>בחוק</w:t>
            </w:r>
            <w:r w:rsidRPr="004531B4">
              <w:rPr>
                <w:rtl/>
              </w:rPr>
              <w:t xml:space="preserve"> </w:t>
            </w:r>
            <w:r w:rsidRPr="004531B4">
              <w:rPr>
                <w:rFonts w:hint="cs"/>
                <w:rtl/>
              </w:rPr>
              <w:t>הרשויות</w:t>
            </w:r>
            <w:r w:rsidRPr="004531B4">
              <w:rPr>
                <w:rtl/>
              </w:rPr>
              <w:t xml:space="preserve"> </w:t>
            </w:r>
            <w:r w:rsidRPr="004531B4">
              <w:rPr>
                <w:rFonts w:hint="cs"/>
                <w:rtl/>
              </w:rPr>
              <w:t>המקומיות</w:t>
            </w:r>
            <w:r w:rsidRPr="004531B4">
              <w:rPr>
                <w:rtl/>
              </w:rPr>
              <w:t xml:space="preserve"> (</w:t>
            </w:r>
            <w:r w:rsidRPr="004531B4">
              <w:rPr>
                <w:rFonts w:hint="cs"/>
                <w:rtl/>
              </w:rPr>
              <w:t>בחירת</w:t>
            </w:r>
            <w:r w:rsidRPr="004531B4">
              <w:rPr>
                <w:rtl/>
              </w:rPr>
              <w:t xml:space="preserve"> </w:t>
            </w:r>
            <w:r w:rsidRPr="004531B4">
              <w:rPr>
                <w:rFonts w:hint="cs"/>
                <w:rtl/>
              </w:rPr>
              <w:t>ראש</w:t>
            </w:r>
            <w:r w:rsidRPr="004531B4">
              <w:rPr>
                <w:rtl/>
              </w:rPr>
              <w:t xml:space="preserve"> </w:t>
            </w:r>
            <w:r w:rsidRPr="004531B4">
              <w:rPr>
                <w:rFonts w:hint="cs"/>
                <w:rtl/>
              </w:rPr>
              <w:t>הרשות</w:t>
            </w:r>
            <w:r w:rsidRPr="004531B4">
              <w:rPr>
                <w:rtl/>
              </w:rPr>
              <w:t xml:space="preserve"> </w:t>
            </w:r>
            <w:r w:rsidRPr="004531B4">
              <w:rPr>
                <w:rFonts w:hint="cs"/>
                <w:rtl/>
              </w:rPr>
              <w:t>וסגניו</w:t>
            </w:r>
            <w:r w:rsidRPr="004531B4">
              <w:rPr>
                <w:rtl/>
              </w:rPr>
              <w:t xml:space="preserve"> </w:t>
            </w:r>
            <w:r w:rsidRPr="004531B4">
              <w:rPr>
                <w:rFonts w:hint="cs"/>
                <w:rtl/>
              </w:rPr>
              <w:t>וכהונתם</w:t>
            </w:r>
            <w:r w:rsidRPr="004531B4">
              <w:rPr>
                <w:rtl/>
              </w:rPr>
              <w:t xml:space="preserve">), </w:t>
            </w:r>
            <w:r w:rsidRPr="004531B4">
              <w:rPr>
                <w:rFonts w:hint="cs"/>
                <w:rtl/>
              </w:rPr>
              <w:t>התשל</w:t>
            </w:r>
            <w:r w:rsidRPr="004531B4">
              <w:rPr>
                <w:rtl/>
              </w:rPr>
              <w:t>"</w:t>
            </w:r>
            <w:r w:rsidRPr="004531B4">
              <w:rPr>
                <w:rFonts w:hint="cs"/>
                <w:rtl/>
              </w:rPr>
              <w:t>ה</w:t>
            </w:r>
            <w:r w:rsidR="00495F22">
              <w:rPr>
                <w:rFonts w:hint="cs"/>
                <w:rtl/>
              </w:rPr>
              <w:t>–</w:t>
            </w:r>
            <w:r w:rsidRPr="004531B4">
              <w:rPr>
                <w:rtl/>
              </w:rPr>
              <w:t>1975</w:t>
            </w:r>
            <w:r w:rsidRPr="004531B4">
              <w:rPr>
                <w:szCs w:val="20"/>
                <w:rtl/>
              </w:rPr>
              <w:footnoteReference w:id="2"/>
            </w:r>
            <w:r w:rsidRPr="004531B4">
              <w:rPr>
                <w:rtl/>
              </w:rPr>
              <w:t xml:space="preserve">, </w:t>
            </w:r>
            <w:r w:rsidRPr="004531B4">
              <w:rPr>
                <w:rFonts w:hint="cs"/>
                <w:rtl/>
              </w:rPr>
              <w:t>בסעיף</w:t>
            </w:r>
            <w:r w:rsidRPr="004531B4">
              <w:rPr>
                <w:rtl/>
              </w:rPr>
              <w:t xml:space="preserve"> 15(</w:t>
            </w:r>
            <w:r w:rsidRPr="004531B4">
              <w:rPr>
                <w:rFonts w:hint="cs"/>
                <w:rtl/>
              </w:rPr>
              <w:t>א</w:t>
            </w:r>
            <w:r w:rsidRPr="004531B4">
              <w:rPr>
                <w:rtl/>
              </w:rPr>
              <w:t>) –</w:t>
            </w:r>
          </w:p>
        </w:tc>
      </w:tr>
      <w:tr w:rsidR="00335E80" w:rsidRPr="00335E80" w:rsidTr="004531B4">
        <w:trPr>
          <w:cantSplit/>
        </w:trPr>
        <w:tc>
          <w:tcPr>
            <w:tcW w:w="1871" w:type="dxa"/>
          </w:tcPr>
          <w:p w:rsidR="00335E80" w:rsidRPr="004531B4" w:rsidRDefault="00335E80" w:rsidP="004531B4">
            <w:pPr>
              <w:pStyle w:val="TableSideHeading"/>
              <w:ind w:right="0"/>
              <w:rPr>
                <w:rtl/>
              </w:rPr>
            </w:pPr>
          </w:p>
        </w:tc>
        <w:tc>
          <w:tcPr>
            <w:tcW w:w="624" w:type="dxa"/>
          </w:tcPr>
          <w:p w:rsidR="00335E80" w:rsidRPr="004531B4" w:rsidRDefault="00335E80" w:rsidP="004531B4">
            <w:pPr>
              <w:pStyle w:val="TableText"/>
              <w:ind w:right="0"/>
              <w:jc w:val="both"/>
              <w:rPr>
                <w:rtl/>
              </w:rPr>
            </w:pPr>
          </w:p>
        </w:tc>
        <w:tc>
          <w:tcPr>
            <w:tcW w:w="7143" w:type="dxa"/>
          </w:tcPr>
          <w:p w:rsidR="00335E80" w:rsidRPr="004531B4" w:rsidRDefault="00335E80" w:rsidP="004531B4">
            <w:pPr>
              <w:pStyle w:val="TableBlock"/>
              <w:rPr>
                <w:rtl/>
              </w:rPr>
            </w:pPr>
            <w:r w:rsidRPr="004531B4">
              <w:rPr>
                <w:rtl/>
              </w:rPr>
              <w:t>(1)</w:t>
            </w:r>
            <w:r w:rsidRPr="004531B4">
              <w:rPr>
                <w:rtl/>
              </w:rPr>
              <w:tab/>
            </w:r>
            <w:r w:rsidR="004531B4" w:rsidRPr="004531B4">
              <w:rPr>
                <w:rFonts w:hint="cs"/>
                <w:rtl/>
              </w:rPr>
              <w:t>בפסקה</w:t>
            </w:r>
            <w:r w:rsidRPr="004531B4">
              <w:rPr>
                <w:rtl/>
              </w:rPr>
              <w:t xml:space="preserve"> (1</w:t>
            </w:r>
            <w:r w:rsidRPr="004531B4">
              <w:rPr>
                <w:rFonts w:hint="cs"/>
                <w:rtl/>
              </w:rPr>
              <w:t>א</w:t>
            </w:r>
            <w:r w:rsidRPr="004531B4">
              <w:rPr>
                <w:rtl/>
              </w:rPr>
              <w:t xml:space="preserve">), </w:t>
            </w:r>
            <w:r w:rsidRPr="004531B4">
              <w:rPr>
                <w:rFonts w:hint="cs"/>
                <w:rtl/>
              </w:rPr>
              <w:t>במקום</w:t>
            </w:r>
            <w:r w:rsidRPr="004531B4">
              <w:rPr>
                <w:rtl/>
              </w:rPr>
              <w:t xml:space="preserve"> "250,000" </w:t>
            </w:r>
            <w:r w:rsidRPr="004531B4">
              <w:rPr>
                <w:rFonts w:hint="cs"/>
                <w:rtl/>
              </w:rPr>
              <w:t>יבוא</w:t>
            </w:r>
            <w:r w:rsidRPr="004531B4">
              <w:rPr>
                <w:rtl/>
              </w:rPr>
              <w:t xml:space="preserve"> "200,000";</w:t>
            </w:r>
          </w:p>
        </w:tc>
      </w:tr>
      <w:tr w:rsidR="00335E80" w:rsidRPr="00335E80" w:rsidTr="004531B4">
        <w:trPr>
          <w:cantSplit/>
        </w:trPr>
        <w:tc>
          <w:tcPr>
            <w:tcW w:w="1871" w:type="dxa"/>
          </w:tcPr>
          <w:p w:rsidR="00335E80" w:rsidRPr="004531B4" w:rsidRDefault="00335E80" w:rsidP="004531B4">
            <w:pPr>
              <w:pStyle w:val="TableSideHeading"/>
              <w:ind w:right="0"/>
              <w:rPr>
                <w:rtl/>
              </w:rPr>
            </w:pPr>
          </w:p>
        </w:tc>
        <w:tc>
          <w:tcPr>
            <w:tcW w:w="624" w:type="dxa"/>
          </w:tcPr>
          <w:p w:rsidR="00335E80" w:rsidRPr="004531B4" w:rsidRDefault="00335E80" w:rsidP="004531B4">
            <w:pPr>
              <w:pStyle w:val="TableText"/>
              <w:ind w:right="0"/>
              <w:jc w:val="both"/>
              <w:rPr>
                <w:rtl/>
              </w:rPr>
            </w:pPr>
          </w:p>
        </w:tc>
        <w:tc>
          <w:tcPr>
            <w:tcW w:w="7143" w:type="dxa"/>
          </w:tcPr>
          <w:p w:rsidR="00335E80" w:rsidRPr="004531B4" w:rsidRDefault="00335E80" w:rsidP="004531B4">
            <w:pPr>
              <w:pStyle w:val="TableBlock"/>
              <w:rPr>
                <w:rtl/>
              </w:rPr>
            </w:pPr>
            <w:r w:rsidRPr="004531B4">
              <w:rPr>
                <w:rFonts w:hint="cs"/>
                <w:rtl/>
              </w:rPr>
              <w:t>(2)</w:t>
            </w:r>
            <w:r w:rsidRPr="004531B4">
              <w:rPr>
                <w:rtl/>
              </w:rPr>
              <w:tab/>
            </w:r>
            <w:r w:rsidR="004531B4" w:rsidRPr="004531B4">
              <w:rPr>
                <w:rFonts w:hint="cs"/>
                <w:rtl/>
              </w:rPr>
              <w:t>בפסקה</w:t>
            </w:r>
            <w:r w:rsidRPr="004531B4">
              <w:rPr>
                <w:rFonts w:hint="cs"/>
                <w:rtl/>
              </w:rPr>
              <w:t xml:space="preserve"> (2), במקום "250,000" יבוא "200,000".</w:t>
            </w:r>
          </w:p>
        </w:tc>
      </w:tr>
    </w:tbl>
    <w:p w:rsidR="00335E80" w:rsidRPr="00335E80" w:rsidRDefault="00335E80" w:rsidP="00495F22">
      <w:pPr>
        <w:pStyle w:val="HeadDivreiHesber"/>
      </w:pPr>
      <w:r w:rsidRPr="00335E80">
        <w:rPr>
          <w:rFonts w:hint="cs"/>
          <w:rtl/>
        </w:rPr>
        <w:t>דברי הסבר</w:t>
      </w:r>
    </w:p>
    <w:p w:rsidR="00335E80" w:rsidRPr="004531B4" w:rsidRDefault="00335E80" w:rsidP="00495F22">
      <w:pPr>
        <w:pStyle w:val="Hesber"/>
        <w:spacing w:line="240" w:lineRule="auto"/>
        <w:rPr>
          <w:rtl/>
        </w:rPr>
      </w:pPr>
      <w:r w:rsidRPr="004531B4">
        <w:rPr>
          <w:rFonts w:hint="cs"/>
          <w:rtl/>
        </w:rPr>
        <w:t xml:space="preserve">    עני</w:t>
      </w:r>
      <w:r w:rsidR="00495F22">
        <w:rPr>
          <w:rFonts w:hint="cs"/>
          <w:rtl/>
        </w:rPr>
        <w:t>י</w:t>
      </w:r>
      <w:r w:rsidRPr="004531B4">
        <w:rPr>
          <w:rFonts w:hint="cs"/>
          <w:rtl/>
        </w:rPr>
        <w:t>נה של הצעת חוק זו בשינוי מספרם של סגני ראש הרשות המקומית במקרים מסוימים וזאת בהתייח</w:t>
      </w:r>
      <w:r w:rsidRPr="004531B4">
        <w:rPr>
          <w:rFonts w:hint="eastAsia"/>
          <w:rtl/>
        </w:rPr>
        <w:t>ס</w:t>
      </w:r>
      <w:r w:rsidRPr="004531B4">
        <w:rPr>
          <w:rFonts w:hint="cs"/>
          <w:rtl/>
        </w:rPr>
        <w:t xml:space="preserve"> אך ורק להוספת סגן נוסף ללא שכר לרשות מקומית שמספר תושביה עולה על 200</w:t>
      </w:r>
      <w:r w:rsidR="00495F22">
        <w:rPr>
          <w:rFonts w:hint="cs"/>
          <w:rtl/>
        </w:rPr>
        <w:t>,</w:t>
      </w:r>
      <w:r w:rsidRPr="004531B4">
        <w:rPr>
          <w:rFonts w:hint="cs"/>
          <w:rtl/>
        </w:rPr>
        <w:t>000 תושבים.</w:t>
      </w:r>
    </w:p>
    <w:p w:rsidR="00335E80" w:rsidRPr="004531B4" w:rsidRDefault="00335E80" w:rsidP="00495F22">
      <w:pPr>
        <w:pStyle w:val="Hesber"/>
        <w:spacing w:line="240" w:lineRule="auto"/>
        <w:rPr>
          <w:rtl/>
        </w:rPr>
      </w:pPr>
      <w:r w:rsidRPr="004531B4">
        <w:rPr>
          <w:rFonts w:hint="cs"/>
          <w:rtl/>
        </w:rPr>
        <w:t>חוק הרשויות המקומיות (בחירת ראש הרשות וסגניו וכהונתם), התשל"ה</w:t>
      </w:r>
      <w:r w:rsidR="00495F22">
        <w:rPr>
          <w:rFonts w:hint="eastAsia"/>
          <w:rtl/>
        </w:rPr>
        <w:t>–</w:t>
      </w:r>
      <w:r w:rsidRPr="004531B4">
        <w:rPr>
          <w:rFonts w:hint="cs"/>
          <w:rtl/>
        </w:rPr>
        <w:t xml:space="preserve">1975 (להלן </w:t>
      </w:r>
      <w:r w:rsidRPr="004531B4">
        <w:rPr>
          <w:rtl/>
        </w:rPr>
        <w:t>–</w:t>
      </w:r>
      <w:r w:rsidRPr="004531B4">
        <w:rPr>
          <w:rFonts w:hint="cs"/>
          <w:rtl/>
        </w:rPr>
        <w:t xml:space="preserve"> החוק)</w:t>
      </w:r>
      <w:r w:rsidR="00495F22">
        <w:rPr>
          <w:rFonts w:hint="cs"/>
          <w:rtl/>
        </w:rPr>
        <w:t>,</w:t>
      </w:r>
      <w:r w:rsidR="004531B4" w:rsidRPr="004531B4">
        <w:rPr>
          <w:rFonts w:hint="cs"/>
          <w:rtl/>
        </w:rPr>
        <w:t xml:space="preserve"> </w:t>
      </w:r>
      <w:r w:rsidRPr="004531B4">
        <w:rPr>
          <w:rFonts w:hint="cs"/>
          <w:rtl/>
        </w:rPr>
        <w:t xml:space="preserve">קובע את מספר הסגנים שניתן למנות לראש רשות מקומית, בהתאם למספר תושביה של הרשות המקומית שעל פיו נקבע מספר חברי מועצת הרשות המקומית. </w:t>
      </w:r>
    </w:p>
    <w:p w:rsidR="00335E80" w:rsidRPr="004531B4" w:rsidRDefault="004531B4" w:rsidP="00495F22">
      <w:pPr>
        <w:pStyle w:val="Hesber"/>
        <w:spacing w:line="240" w:lineRule="auto"/>
        <w:rPr>
          <w:rtl/>
        </w:rPr>
      </w:pPr>
      <w:r w:rsidRPr="004531B4">
        <w:rPr>
          <w:rFonts w:hint="cs"/>
          <w:rtl/>
        </w:rPr>
        <w:t>לענייננו, סעיף 14 לחוק</w:t>
      </w:r>
      <w:r w:rsidR="00335E80" w:rsidRPr="004531B4">
        <w:rPr>
          <w:rFonts w:hint="cs"/>
          <w:rtl/>
        </w:rPr>
        <w:t xml:space="preserve"> קובע שברשות מקומית שמספר תושביה עולה על 150,000 יכהן סגן אחד והמועצה רשאית, לפי הצעת ראש הרשות, ברוב חבריה, למנות סגן נוסף.  סעיף 15</w:t>
      </w:r>
      <w:r w:rsidR="00495F22">
        <w:rPr>
          <w:rFonts w:hint="cs"/>
          <w:rtl/>
        </w:rPr>
        <w:t xml:space="preserve"> לחוק מאפשר למועצת רשות מקומית </w:t>
      </w:r>
      <w:r w:rsidR="00335E80" w:rsidRPr="004531B4">
        <w:rPr>
          <w:rFonts w:hint="cs"/>
          <w:rtl/>
        </w:rPr>
        <w:t>שמספר תושבי</w:t>
      </w:r>
      <w:r w:rsidR="00495F22">
        <w:rPr>
          <w:rFonts w:hint="cs"/>
          <w:rtl/>
        </w:rPr>
        <w:t xml:space="preserve">ה עולה על 150,000 אך אינו עולה </w:t>
      </w:r>
      <w:r w:rsidR="00335E80" w:rsidRPr="004531B4">
        <w:rPr>
          <w:rFonts w:hint="cs"/>
          <w:rtl/>
        </w:rPr>
        <w:t xml:space="preserve">על 250,000 לבחור שני סגנים נוספים לראש הרשות, ואילו ברשות מקומית שמספר תושביה עולה על 250,000 אך אינו עולה על 500,000 </w:t>
      </w:r>
      <w:r w:rsidR="00335E80" w:rsidRPr="004531B4">
        <w:rPr>
          <w:rtl/>
        </w:rPr>
        <w:t>–</w:t>
      </w:r>
      <w:r w:rsidR="00335E80" w:rsidRPr="004531B4">
        <w:rPr>
          <w:rFonts w:hint="cs"/>
          <w:rtl/>
        </w:rPr>
        <w:t xml:space="preserve"> שלושה סגנים נוספים. שילובן של הוראות אלה מעלה, כי ברשות מקומית שמספר תושביה עולה על 150,000 אך אינו עולה על 250,000 יכולים לכהן עד ארבעה סגנים לראש הרשות, ואילו ברשות מקומית שמספר תושביה עולה על 250,000 אך אינו עולה על 500,000 יכולים לכהן חמישה סגנים. </w:t>
      </w:r>
    </w:p>
    <w:p w:rsidR="00335E80" w:rsidRDefault="00495F22" w:rsidP="00495F22">
      <w:pPr>
        <w:pStyle w:val="Hesber"/>
        <w:spacing w:line="240" w:lineRule="auto"/>
        <w:rPr>
          <w:rtl/>
        </w:rPr>
      </w:pPr>
      <w:r>
        <w:rPr>
          <w:rFonts w:hint="cs"/>
          <w:rtl/>
        </w:rPr>
        <w:t>מוצע לתקן את החוק כך</w:t>
      </w:r>
      <w:r w:rsidR="00335E80" w:rsidRPr="004531B4">
        <w:rPr>
          <w:rFonts w:hint="cs"/>
          <w:rtl/>
        </w:rPr>
        <w:t xml:space="preserve"> שברשות מקומית שמספר תושביה עולה על 200,000 אך אינו עולה על 500,000 יוכלו לכהן עד חמישה סגנים לראש הרשות המקומית.</w:t>
      </w:r>
    </w:p>
    <w:p w:rsidR="00495F22" w:rsidRDefault="00495F22" w:rsidP="00495F22">
      <w:pPr>
        <w:pStyle w:val="Hesber"/>
        <w:spacing w:line="240" w:lineRule="auto"/>
        <w:rPr>
          <w:rtl/>
        </w:rPr>
      </w:pPr>
    </w:p>
    <w:p w:rsidR="00495F22" w:rsidRPr="0022704F" w:rsidRDefault="00495F22" w:rsidP="00495F22">
      <w:pPr>
        <w:spacing w:before="0" w:line="24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rsidR="00495F22" w:rsidRPr="0022704F" w:rsidRDefault="00495F22" w:rsidP="00495F22">
      <w:pPr>
        <w:spacing w:before="0" w:line="24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rsidR="00495F22" w:rsidRPr="0022704F" w:rsidRDefault="00495F22" w:rsidP="00495F22">
      <w:pPr>
        <w:spacing w:before="0" w:line="24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rsidR="00495F22" w:rsidRPr="004531B4" w:rsidRDefault="00495F22" w:rsidP="00495F22">
      <w:pPr>
        <w:spacing w:before="0" w:line="240" w:lineRule="auto"/>
        <w:ind w:left="340" w:firstLine="0"/>
      </w:pPr>
      <w:r>
        <w:rPr>
          <w:rFonts w:ascii="Arial" w:eastAsia="Arial Unicode MS" w:hAnsi="Arial" w:cs="David" w:hint="cs"/>
          <w:snapToGrid w:val="0"/>
          <w:spacing w:val="0"/>
          <w:sz w:val="20"/>
          <w:szCs w:val="26"/>
          <w:rtl/>
        </w:rPr>
        <w:t>א' באב התשע"ד</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28</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7</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14</w:t>
      </w:r>
    </w:p>
    <w:sectPr w:rsidR="00495F22" w:rsidRPr="004531B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9E" w:rsidRDefault="0045649E">
      <w:r>
        <w:separator/>
      </w:r>
    </w:p>
  </w:endnote>
  <w:endnote w:type="continuationSeparator" w:id="0">
    <w:p w:rsidR="0045649E" w:rsidRDefault="0045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1A0623" w:rsidRDefault="001A06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495F22">
      <w:rPr>
        <w:rStyle w:val="aa"/>
        <w:noProof/>
        <w:rtl/>
      </w:rPr>
      <w:t>2</w:t>
    </w:r>
    <w:r>
      <w:rPr>
        <w:rStyle w:val="aa"/>
        <w:rtl/>
      </w:rPr>
      <w:fldChar w:fldCharType="end"/>
    </w:r>
  </w:p>
  <w:p w:rsidR="001A0623" w:rsidRDefault="001A0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9E" w:rsidRDefault="0045649E">
      <w:r>
        <w:separator/>
      </w:r>
    </w:p>
  </w:footnote>
  <w:footnote w:type="continuationSeparator" w:id="0">
    <w:p w:rsidR="0045649E" w:rsidRDefault="0045649E">
      <w:r>
        <w:continuationSeparator/>
      </w:r>
    </w:p>
  </w:footnote>
  <w:footnote w:type="continuationNotice" w:id="1">
    <w:p w:rsidR="0045649E" w:rsidRDefault="0045649E"/>
  </w:footnote>
  <w:footnote w:id="2">
    <w:p w:rsidR="00335E80" w:rsidRDefault="00335E80" w:rsidP="00335E80">
      <w:pPr>
        <w:pStyle w:val="a4"/>
        <w:rPr>
          <w:rtl/>
        </w:rPr>
      </w:pPr>
      <w:r>
        <w:rPr>
          <w:rStyle w:val="a5"/>
        </w:rPr>
        <w:footnoteRef/>
      </w:r>
      <w:r>
        <w:rPr>
          <w:rtl/>
        </w:rPr>
        <w:t xml:space="preserve"> </w:t>
      </w:r>
      <w:r w:rsidR="00495F22">
        <w:rPr>
          <w:rFonts w:hint="cs"/>
          <w:rtl/>
        </w:rPr>
        <w:t>ס"ח התשל"ה</w:t>
      </w:r>
      <w:r>
        <w:rPr>
          <w:rFonts w:hint="cs"/>
          <w:rtl/>
        </w:rPr>
        <w:t>, עמ' 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6197lsCopyOriginal.docx"/>
    <w:docVar w:name="StartMode" w:val="2"/>
  </w:docVars>
  <w:rsids>
    <w:rsidRoot w:val="00DB7060"/>
    <w:rsid w:val="00015B27"/>
    <w:rsid w:val="000A542E"/>
    <w:rsid w:val="001207F8"/>
    <w:rsid w:val="00121924"/>
    <w:rsid w:val="001279A8"/>
    <w:rsid w:val="0014195F"/>
    <w:rsid w:val="00150D4E"/>
    <w:rsid w:val="00152609"/>
    <w:rsid w:val="00153E1B"/>
    <w:rsid w:val="001A0623"/>
    <w:rsid w:val="001C23B0"/>
    <w:rsid w:val="001D078D"/>
    <w:rsid w:val="00203A7F"/>
    <w:rsid w:val="002200A1"/>
    <w:rsid w:val="002362BF"/>
    <w:rsid w:val="00241B97"/>
    <w:rsid w:val="00254605"/>
    <w:rsid w:val="002728B4"/>
    <w:rsid w:val="00292712"/>
    <w:rsid w:val="002C2E29"/>
    <w:rsid w:val="003232A2"/>
    <w:rsid w:val="00335E80"/>
    <w:rsid w:val="003710F6"/>
    <w:rsid w:val="00386E88"/>
    <w:rsid w:val="003D74A0"/>
    <w:rsid w:val="004033D8"/>
    <w:rsid w:val="004531B4"/>
    <w:rsid w:val="0045649E"/>
    <w:rsid w:val="00495F22"/>
    <w:rsid w:val="004D3876"/>
    <w:rsid w:val="004E4552"/>
    <w:rsid w:val="00553C9D"/>
    <w:rsid w:val="005B064E"/>
    <w:rsid w:val="005D51AE"/>
    <w:rsid w:val="00644940"/>
    <w:rsid w:val="006818A9"/>
    <w:rsid w:val="006C1D0D"/>
    <w:rsid w:val="006F05BA"/>
    <w:rsid w:val="0070601E"/>
    <w:rsid w:val="00765F66"/>
    <w:rsid w:val="007D5A12"/>
    <w:rsid w:val="007E59F9"/>
    <w:rsid w:val="00810BCD"/>
    <w:rsid w:val="00812C98"/>
    <w:rsid w:val="00814D92"/>
    <w:rsid w:val="0083628B"/>
    <w:rsid w:val="008747FD"/>
    <w:rsid w:val="00892135"/>
    <w:rsid w:val="00895449"/>
    <w:rsid w:val="00897879"/>
    <w:rsid w:val="008C2DDC"/>
    <w:rsid w:val="008F0D63"/>
    <w:rsid w:val="008F2C35"/>
    <w:rsid w:val="0091204F"/>
    <w:rsid w:val="009203DB"/>
    <w:rsid w:val="00943386"/>
    <w:rsid w:val="00957589"/>
    <w:rsid w:val="00982412"/>
    <w:rsid w:val="00A26BD6"/>
    <w:rsid w:val="00A82CB7"/>
    <w:rsid w:val="00AC36F7"/>
    <w:rsid w:val="00B35784"/>
    <w:rsid w:val="00BB7A90"/>
    <w:rsid w:val="00BC45FB"/>
    <w:rsid w:val="00C9176A"/>
    <w:rsid w:val="00D867D7"/>
    <w:rsid w:val="00DB7060"/>
    <w:rsid w:val="00DE3153"/>
    <w:rsid w:val="00E0001E"/>
    <w:rsid w:val="00E13C27"/>
    <w:rsid w:val="00E33BBD"/>
    <w:rsid w:val="00E45103"/>
    <w:rsid w:val="00E665B9"/>
    <w:rsid w:val="00EA01E6"/>
    <w:rsid w:val="00EA758F"/>
    <w:rsid w:val="00ED4A6F"/>
    <w:rsid w:val="00EF3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B4"/>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4531B4"/>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4531B4"/>
    <w:rPr>
      <w:sz w:val="36"/>
      <w:szCs w:val="52"/>
    </w:rPr>
  </w:style>
  <w:style w:type="paragraph" w:customStyle="1" w:styleId="Cover3-Haknesset">
    <w:name w:val="Cover 3-Haknesset"/>
    <w:basedOn w:val="Cover1-Reshumot"/>
    <w:rsid w:val="004531B4"/>
    <w:rPr>
      <w:b/>
      <w:bCs/>
      <w:spacing w:val="60"/>
    </w:rPr>
  </w:style>
  <w:style w:type="paragraph" w:customStyle="1" w:styleId="Cover4-Date">
    <w:name w:val="Cover 4-Date"/>
    <w:basedOn w:val="a"/>
    <w:rsid w:val="004531B4"/>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4531B4"/>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4531B4"/>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4531B4"/>
    <w:pPr>
      <w:spacing w:before="120" w:after="120"/>
    </w:pPr>
    <w:rPr>
      <w:color w:val="FF0000"/>
      <w:w w:val="80"/>
    </w:rPr>
  </w:style>
  <w:style w:type="paragraph" w:styleId="a3">
    <w:name w:val="endnote text"/>
    <w:basedOn w:val="a"/>
    <w:semiHidden/>
    <w:rsid w:val="004531B4"/>
    <w:pPr>
      <w:ind w:left="227" w:hanging="227"/>
    </w:pPr>
    <w:rPr>
      <w:sz w:val="14"/>
      <w:szCs w:val="22"/>
    </w:rPr>
  </w:style>
  <w:style w:type="paragraph" w:customStyle="1" w:styleId="TableText">
    <w:name w:val="Table Text"/>
    <w:basedOn w:val="a"/>
    <w:rsid w:val="004531B4"/>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4531B4"/>
  </w:style>
  <w:style w:type="paragraph" w:customStyle="1" w:styleId="TableBlock">
    <w:name w:val="Table Block"/>
    <w:basedOn w:val="TableText"/>
    <w:rsid w:val="004531B4"/>
    <w:pPr>
      <w:ind w:right="0"/>
      <w:jc w:val="both"/>
    </w:pPr>
  </w:style>
  <w:style w:type="paragraph" w:customStyle="1" w:styleId="TableHead">
    <w:name w:val="Table Head"/>
    <w:basedOn w:val="TableText"/>
    <w:rsid w:val="004531B4"/>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4531B4"/>
  </w:style>
  <w:style w:type="paragraph" w:customStyle="1" w:styleId="Hesber">
    <w:name w:val="Hesber"/>
    <w:basedOn w:val="a"/>
    <w:rsid w:val="004531B4"/>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4531B4"/>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4531B4"/>
    <w:rPr>
      <w:vertAlign w:val="superscript"/>
    </w:rPr>
  </w:style>
  <w:style w:type="paragraph" w:customStyle="1" w:styleId="HesberHeading">
    <w:name w:val="Hesber Heading"/>
    <w:basedOn w:val="Hesber"/>
    <w:rsid w:val="004531B4"/>
    <w:pPr>
      <w:tabs>
        <w:tab w:val="left" w:pos="624"/>
        <w:tab w:val="left" w:pos="1247"/>
      </w:tabs>
      <w:ind w:firstLine="0"/>
    </w:pPr>
    <w:rPr>
      <w:b/>
      <w:bCs/>
    </w:rPr>
  </w:style>
  <w:style w:type="paragraph" w:customStyle="1" w:styleId="HesberWriters">
    <w:name w:val="Hesber Writers"/>
    <w:basedOn w:val="Hesber"/>
    <w:rsid w:val="004531B4"/>
    <w:pPr>
      <w:spacing w:before="120" w:after="6000"/>
      <w:ind w:left="1418" w:firstLine="0"/>
      <w:jc w:val="right"/>
    </w:pPr>
    <w:rPr>
      <w:b/>
      <w:bCs/>
    </w:rPr>
  </w:style>
  <w:style w:type="paragraph" w:customStyle="1" w:styleId="Hesber1st">
    <w:name w:val="Hesber 1st"/>
    <w:basedOn w:val="Hesber"/>
    <w:rsid w:val="004531B4"/>
    <w:pPr>
      <w:tabs>
        <w:tab w:val="left" w:pos="680"/>
        <w:tab w:val="left" w:pos="1020"/>
      </w:tabs>
      <w:ind w:firstLine="0"/>
    </w:pPr>
  </w:style>
  <w:style w:type="character" w:styleId="a6">
    <w:name w:val="endnote reference"/>
    <w:basedOn w:val="a0"/>
    <w:semiHidden/>
    <w:rsid w:val="004531B4"/>
    <w:rPr>
      <w:vertAlign w:val="superscript"/>
    </w:rPr>
  </w:style>
  <w:style w:type="paragraph" w:customStyle="1" w:styleId="TableBlockOutdent">
    <w:name w:val="Table BlockOutdent"/>
    <w:basedOn w:val="TableBlock"/>
    <w:rsid w:val="004531B4"/>
    <w:pPr>
      <w:ind w:left="624" w:hanging="624"/>
    </w:pPr>
  </w:style>
  <w:style w:type="paragraph" w:styleId="a7">
    <w:name w:val="header"/>
    <w:basedOn w:val="a"/>
    <w:rsid w:val="004531B4"/>
    <w:pPr>
      <w:tabs>
        <w:tab w:val="center" w:pos="4153"/>
        <w:tab w:val="right" w:pos="8306"/>
      </w:tabs>
    </w:pPr>
  </w:style>
  <w:style w:type="paragraph" w:styleId="a8">
    <w:name w:val="footer"/>
    <w:basedOn w:val="a"/>
    <w:rsid w:val="004531B4"/>
    <w:pPr>
      <w:tabs>
        <w:tab w:val="center" w:pos="4153"/>
        <w:tab w:val="right" w:pos="8306"/>
      </w:tabs>
    </w:pPr>
  </w:style>
  <w:style w:type="paragraph" w:customStyle="1" w:styleId="HeadDivreiHesber">
    <w:name w:val="Head DivreiHesber"/>
    <w:basedOn w:val="a"/>
    <w:rsid w:val="004531B4"/>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4531B4"/>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4531B4"/>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B4"/>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4531B4"/>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4531B4"/>
    <w:rPr>
      <w:sz w:val="36"/>
      <w:szCs w:val="52"/>
    </w:rPr>
  </w:style>
  <w:style w:type="paragraph" w:customStyle="1" w:styleId="Cover3-Haknesset">
    <w:name w:val="Cover 3-Haknesset"/>
    <w:basedOn w:val="Cover1-Reshumot"/>
    <w:rsid w:val="004531B4"/>
    <w:rPr>
      <w:b/>
      <w:bCs/>
      <w:spacing w:val="60"/>
    </w:rPr>
  </w:style>
  <w:style w:type="paragraph" w:customStyle="1" w:styleId="Cover4-Date">
    <w:name w:val="Cover 4-Date"/>
    <w:basedOn w:val="a"/>
    <w:rsid w:val="004531B4"/>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4531B4"/>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4531B4"/>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4531B4"/>
    <w:pPr>
      <w:spacing w:before="120" w:after="120"/>
    </w:pPr>
    <w:rPr>
      <w:color w:val="FF0000"/>
      <w:w w:val="80"/>
    </w:rPr>
  </w:style>
  <w:style w:type="paragraph" w:styleId="a3">
    <w:name w:val="endnote text"/>
    <w:basedOn w:val="a"/>
    <w:semiHidden/>
    <w:rsid w:val="004531B4"/>
    <w:pPr>
      <w:ind w:left="227" w:hanging="227"/>
    </w:pPr>
    <w:rPr>
      <w:sz w:val="14"/>
      <w:szCs w:val="22"/>
    </w:rPr>
  </w:style>
  <w:style w:type="paragraph" w:customStyle="1" w:styleId="TableText">
    <w:name w:val="Table Text"/>
    <w:basedOn w:val="a"/>
    <w:rsid w:val="004531B4"/>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4531B4"/>
  </w:style>
  <w:style w:type="paragraph" w:customStyle="1" w:styleId="TableBlock">
    <w:name w:val="Table Block"/>
    <w:basedOn w:val="TableText"/>
    <w:rsid w:val="004531B4"/>
    <w:pPr>
      <w:ind w:right="0"/>
      <w:jc w:val="both"/>
    </w:pPr>
  </w:style>
  <w:style w:type="paragraph" w:customStyle="1" w:styleId="TableHead">
    <w:name w:val="Table Head"/>
    <w:basedOn w:val="TableText"/>
    <w:rsid w:val="004531B4"/>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4531B4"/>
  </w:style>
  <w:style w:type="paragraph" w:customStyle="1" w:styleId="Hesber">
    <w:name w:val="Hesber"/>
    <w:basedOn w:val="a"/>
    <w:rsid w:val="004531B4"/>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4531B4"/>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4531B4"/>
    <w:rPr>
      <w:vertAlign w:val="superscript"/>
    </w:rPr>
  </w:style>
  <w:style w:type="paragraph" w:customStyle="1" w:styleId="HesberHeading">
    <w:name w:val="Hesber Heading"/>
    <w:basedOn w:val="Hesber"/>
    <w:rsid w:val="004531B4"/>
    <w:pPr>
      <w:tabs>
        <w:tab w:val="left" w:pos="624"/>
        <w:tab w:val="left" w:pos="1247"/>
      </w:tabs>
      <w:ind w:firstLine="0"/>
    </w:pPr>
    <w:rPr>
      <w:b/>
      <w:bCs/>
    </w:rPr>
  </w:style>
  <w:style w:type="paragraph" w:customStyle="1" w:styleId="HesberWriters">
    <w:name w:val="Hesber Writers"/>
    <w:basedOn w:val="Hesber"/>
    <w:rsid w:val="004531B4"/>
    <w:pPr>
      <w:spacing w:before="120" w:after="6000"/>
      <w:ind w:left="1418" w:firstLine="0"/>
      <w:jc w:val="right"/>
    </w:pPr>
    <w:rPr>
      <w:b/>
      <w:bCs/>
    </w:rPr>
  </w:style>
  <w:style w:type="paragraph" w:customStyle="1" w:styleId="Hesber1st">
    <w:name w:val="Hesber 1st"/>
    <w:basedOn w:val="Hesber"/>
    <w:rsid w:val="004531B4"/>
    <w:pPr>
      <w:tabs>
        <w:tab w:val="left" w:pos="680"/>
        <w:tab w:val="left" w:pos="1020"/>
      </w:tabs>
      <w:ind w:firstLine="0"/>
    </w:pPr>
  </w:style>
  <w:style w:type="character" w:styleId="a6">
    <w:name w:val="endnote reference"/>
    <w:basedOn w:val="a0"/>
    <w:semiHidden/>
    <w:rsid w:val="004531B4"/>
    <w:rPr>
      <w:vertAlign w:val="superscript"/>
    </w:rPr>
  </w:style>
  <w:style w:type="paragraph" w:customStyle="1" w:styleId="TableBlockOutdent">
    <w:name w:val="Table BlockOutdent"/>
    <w:basedOn w:val="TableBlock"/>
    <w:rsid w:val="004531B4"/>
    <w:pPr>
      <w:ind w:left="624" w:hanging="624"/>
    </w:pPr>
  </w:style>
  <w:style w:type="paragraph" w:styleId="a7">
    <w:name w:val="header"/>
    <w:basedOn w:val="a"/>
    <w:rsid w:val="004531B4"/>
    <w:pPr>
      <w:tabs>
        <w:tab w:val="center" w:pos="4153"/>
        <w:tab w:val="right" w:pos="8306"/>
      </w:tabs>
    </w:pPr>
  </w:style>
  <w:style w:type="paragraph" w:styleId="a8">
    <w:name w:val="footer"/>
    <w:basedOn w:val="a"/>
    <w:rsid w:val="004531B4"/>
    <w:pPr>
      <w:tabs>
        <w:tab w:val="center" w:pos="4153"/>
        <w:tab w:val="right" w:pos="8306"/>
      </w:tabs>
    </w:pPr>
  </w:style>
  <w:style w:type="paragraph" w:customStyle="1" w:styleId="HeadDivreiHesber">
    <w:name w:val="Head DivreiHesber"/>
    <w:basedOn w:val="a"/>
    <w:rsid w:val="004531B4"/>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4531B4"/>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4531B4"/>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1A5410B2-BB21-4E05-9C5B-6036F78D0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1440</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שרית מזוז</dc:creator>
  <cp:lastModifiedBy>שוש אזולאי</cp:lastModifiedBy>
  <cp:revision>2</cp:revision>
  <cp:lastPrinted>2014-07-23T14:14:00Z</cp:lastPrinted>
  <dcterms:created xsi:type="dcterms:W3CDTF">2014-10-30T11:04:00Z</dcterms:created>
  <dcterms:modified xsi:type="dcterms:W3CDTF">2014-10-30T11:04:00Z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