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6F" w:rsidRPr="00241B97" w:rsidRDefault="00237B6F" w:rsidP="00237B6F">
      <w:pPr>
        <w:pStyle w:val="HeadHatzaotHok"/>
        <w:jc w:val="right"/>
        <w:rPr>
          <w:b w:val="0"/>
          <w:bCs w:val="0"/>
          <w:sz w:val="17"/>
          <w:szCs w:val="17"/>
        </w:rPr>
      </w:pPr>
      <w:bookmarkStart w:id="0" w:name="_GoBack"/>
      <w:bookmarkEnd w:id="0"/>
      <w:r w:rsidRPr="00241B97">
        <w:rPr>
          <w:rFonts w:hint="cs"/>
          <w:b w:val="0"/>
          <w:bCs w:val="0"/>
          <w:sz w:val="17"/>
          <w:szCs w:val="17"/>
          <w:rtl/>
        </w:rPr>
        <w:t xml:space="preserve">(מספר פנימי: </w:t>
      </w:r>
      <w:bookmarkStart w:id="1" w:name="ItemID"/>
      <w:r w:rsidRPr="00E303D2">
        <w:rPr>
          <w:b w:val="0"/>
          <w:bCs w:val="0"/>
          <w:sz w:val="17"/>
          <w:szCs w:val="17"/>
          <w:rtl/>
        </w:rPr>
        <w:t>551837</w:t>
      </w:r>
      <w:bookmarkEnd w:id="1"/>
      <w:r w:rsidRPr="00241B97">
        <w:rPr>
          <w:rFonts w:hint="cs"/>
          <w:b w:val="0"/>
          <w:bCs w:val="0"/>
          <w:sz w:val="17"/>
          <w:szCs w:val="17"/>
          <w:rtl/>
        </w:rPr>
        <w:t>)</w:t>
      </w:r>
    </w:p>
    <w:p w:rsidR="00237B6F" w:rsidRPr="00DB7060" w:rsidRDefault="00237B6F" w:rsidP="00237B6F">
      <w:pPr>
        <w:pStyle w:val="HeadHatzaotHok"/>
        <w:rPr>
          <w:sz w:val="28"/>
          <w:szCs w:val="28"/>
          <w:rtl/>
        </w:rPr>
      </w:pPr>
      <w:r w:rsidRPr="00DB7060">
        <w:rPr>
          <w:rFonts w:hint="cs"/>
          <w:sz w:val="28"/>
          <w:szCs w:val="28"/>
          <w:rtl/>
        </w:rPr>
        <w:t xml:space="preserve">הכנסת </w:t>
      </w:r>
      <w:bookmarkStart w:id="2" w:name="KnessetNum"/>
      <w:r w:rsidRPr="00E303D2">
        <w:rPr>
          <w:sz w:val="28"/>
          <w:szCs w:val="28"/>
          <w:rtl/>
        </w:rPr>
        <w:t>התשע-עשרה</w:t>
      </w:r>
      <w:bookmarkEnd w:id="2"/>
    </w:p>
    <w:p w:rsidR="00237B6F" w:rsidRDefault="00237B6F" w:rsidP="00237B6F">
      <w:pPr>
        <w:rPr>
          <w:rFonts w:cs="David"/>
          <w:sz w:val="26"/>
          <w:szCs w:val="26"/>
          <w:rtl/>
        </w:rPr>
      </w:pPr>
    </w:p>
    <w:p w:rsidR="00237B6F" w:rsidRDefault="00237B6F" w:rsidP="00237B6F">
      <w:pPr>
        <w:pStyle w:val="David"/>
        <w:ind w:left="2880" w:firstLine="663"/>
        <w:rPr>
          <w:b/>
          <w:bCs/>
          <w:rtl/>
        </w:rPr>
      </w:pPr>
      <w:bookmarkStart w:id="3" w:name="MKsSingleOrMulti"/>
      <w:r w:rsidRPr="00E33CCC">
        <w:rPr>
          <w:b/>
          <w:bCs/>
          <w:rtl/>
        </w:rPr>
        <w:t>יוזמ</w:t>
      </w:r>
      <w:r>
        <w:rPr>
          <w:rFonts w:hint="cs"/>
          <w:b/>
          <w:bCs/>
          <w:rtl/>
        </w:rPr>
        <w:t>ים</w:t>
      </w:r>
      <w:r w:rsidRPr="00E33CCC">
        <w:rPr>
          <w:b/>
          <w:bCs/>
          <w:rtl/>
        </w:rPr>
        <w:t>:</w:t>
      </w:r>
      <w:r>
        <w:rPr>
          <w:rFonts w:hint="cs"/>
          <w:b/>
          <w:bCs/>
          <w:rtl/>
        </w:rPr>
        <w:tab/>
      </w:r>
      <w:r>
        <w:rPr>
          <w:rFonts w:hint="cs"/>
          <w:b/>
          <w:bCs/>
          <w:rtl/>
        </w:rPr>
        <w:tab/>
      </w:r>
      <w:r w:rsidRPr="00E33CCC">
        <w:rPr>
          <w:b/>
          <w:bCs/>
          <w:rtl/>
        </w:rPr>
        <w:t>חבר</w:t>
      </w:r>
      <w:r>
        <w:rPr>
          <w:rFonts w:hint="cs"/>
          <w:b/>
          <w:bCs/>
          <w:rtl/>
        </w:rPr>
        <w:t>י</w:t>
      </w:r>
      <w:r w:rsidRPr="00E33CCC">
        <w:rPr>
          <w:b/>
          <w:bCs/>
          <w:rtl/>
        </w:rPr>
        <w:t xml:space="preserve"> הכנסת</w:t>
      </w:r>
      <w:bookmarkEnd w:id="3"/>
      <w:r>
        <w:tab/>
      </w:r>
      <w:bookmarkStart w:id="4" w:name="MKs"/>
      <w:r w:rsidRPr="00E303D2">
        <w:rPr>
          <w:b/>
          <w:bCs/>
          <w:rtl/>
        </w:rPr>
        <w:t>מירי רגב</w:t>
      </w:r>
      <w:bookmarkEnd w:id="4"/>
    </w:p>
    <w:p w:rsidR="00237B6F" w:rsidRDefault="00237B6F" w:rsidP="00237B6F">
      <w:pPr>
        <w:pStyle w:val="David"/>
        <w:ind w:left="2880" w:firstLine="663"/>
        <w:rPr>
          <w:b/>
          <w:bCs/>
          <w:rtl/>
        </w:rPr>
      </w:pPr>
      <w:r>
        <w:rPr>
          <w:rFonts w:hint="cs"/>
          <w:b/>
          <w:bCs/>
          <w:rtl/>
        </w:rPr>
        <w:tab/>
      </w:r>
      <w:r>
        <w:rPr>
          <w:rFonts w:hint="cs"/>
          <w:b/>
          <w:bCs/>
          <w:rtl/>
        </w:rPr>
        <w:tab/>
      </w:r>
      <w:r>
        <w:rPr>
          <w:rFonts w:hint="cs"/>
          <w:b/>
          <w:bCs/>
          <w:rtl/>
        </w:rPr>
        <w:tab/>
      </w:r>
      <w:r>
        <w:rPr>
          <w:rFonts w:hint="cs"/>
          <w:b/>
          <w:bCs/>
          <w:rtl/>
        </w:rPr>
        <w:tab/>
      </w:r>
      <w:r>
        <w:rPr>
          <w:rFonts w:hint="cs"/>
          <w:b/>
          <w:bCs/>
          <w:rtl/>
        </w:rPr>
        <w:tab/>
        <w:t>דוד רותם</w:t>
      </w:r>
    </w:p>
    <w:p w:rsidR="00237B6F" w:rsidRDefault="00237B6F" w:rsidP="00237B6F">
      <w:pPr>
        <w:pStyle w:val="David"/>
        <w:ind w:left="5760" w:firstLine="720"/>
        <w:rPr>
          <w:b/>
          <w:bCs/>
          <w:rtl/>
        </w:rPr>
      </w:pPr>
      <w:r>
        <w:rPr>
          <w:rFonts w:hint="cs"/>
          <w:b/>
          <w:bCs/>
          <w:rtl/>
        </w:rPr>
        <w:t>דב חנין</w:t>
      </w:r>
    </w:p>
    <w:p w:rsidR="00237B6F" w:rsidRDefault="00F50645" w:rsidP="00237B6F">
      <w:pPr>
        <w:pStyle w:val="David"/>
        <w:ind w:left="5760" w:firstLine="720"/>
        <w:rPr>
          <w:b/>
          <w:bCs/>
          <w:rtl/>
        </w:rPr>
      </w:pPr>
      <w:r>
        <w:rPr>
          <w:rFonts w:hint="cs"/>
          <w:b/>
          <w:bCs/>
          <w:rtl/>
        </w:rPr>
        <w:t>כ</w:t>
      </w:r>
      <w:r w:rsidR="00237B6F">
        <w:rPr>
          <w:rFonts w:hint="cs"/>
          <w:b/>
          <w:bCs/>
          <w:rtl/>
        </w:rPr>
        <w:t>לפה זבולון</w:t>
      </w:r>
    </w:p>
    <w:p w:rsidR="00237B6F" w:rsidRDefault="00237B6F" w:rsidP="00237B6F">
      <w:pPr>
        <w:pStyle w:val="David"/>
        <w:ind w:left="5760" w:firstLine="720"/>
        <w:rPr>
          <w:b/>
          <w:bCs/>
          <w:rtl/>
        </w:rPr>
      </w:pPr>
      <w:r>
        <w:rPr>
          <w:rFonts w:hint="cs"/>
          <w:b/>
          <w:bCs/>
          <w:rtl/>
        </w:rPr>
        <w:t>דוד אזולאי</w:t>
      </w:r>
    </w:p>
    <w:p w:rsidR="00237B6F" w:rsidRDefault="00237B6F" w:rsidP="00237B6F">
      <w:pPr>
        <w:pStyle w:val="David"/>
        <w:ind w:left="5760" w:firstLine="720"/>
        <w:rPr>
          <w:b/>
          <w:bCs/>
          <w:rtl/>
        </w:rPr>
      </w:pPr>
      <w:r>
        <w:rPr>
          <w:rFonts w:hint="cs"/>
          <w:b/>
          <w:bCs/>
          <w:rtl/>
        </w:rPr>
        <w:t>יעקב אשר</w:t>
      </w:r>
    </w:p>
    <w:p w:rsidR="00237B6F" w:rsidRPr="00B35784" w:rsidRDefault="00237B6F" w:rsidP="00237B6F">
      <w:pPr>
        <w:pStyle w:val="David"/>
        <w:ind w:left="5760" w:firstLine="720"/>
        <w:rPr>
          <w:b/>
          <w:bCs/>
          <w:rtl/>
        </w:rPr>
      </w:pPr>
      <w:r>
        <w:rPr>
          <w:rFonts w:hint="cs"/>
          <w:b/>
          <w:bCs/>
          <w:rtl/>
        </w:rPr>
        <w:t>עדי קול</w:t>
      </w:r>
    </w:p>
    <w:p w:rsidR="00237B6F" w:rsidRDefault="00237B6F" w:rsidP="00237B6F">
      <w:pPr>
        <w:ind w:firstLine="3543"/>
        <w:rPr>
          <w:rFonts w:cs="David"/>
          <w:sz w:val="26"/>
          <w:szCs w:val="26"/>
          <w:rtl/>
        </w:rPr>
      </w:pPr>
      <w:r>
        <w:rPr>
          <w:noProof/>
          <w:rtl/>
          <w:lang w:eastAsia="en-US"/>
        </w:rPr>
        <mc:AlternateContent>
          <mc:Choice Requires="wps">
            <w:drawing>
              <wp:anchor distT="0" distB="0" distL="114300" distR="114300" simplePos="0" relativeHeight="251660288" behindDoc="0" locked="0" layoutInCell="1" allowOverlap="1" wp14:anchorId="22A24FC0" wp14:editId="47DA4819">
                <wp:simplePos x="0" y="0"/>
                <wp:positionH relativeFrom="column">
                  <wp:posOffset>1270</wp:posOffset>
                </wp:positionH>
                <wp:positionV relativeFrom="paragraph">
                  <wp:posOffset>48895</wp:posOffset>
                </wp:positionV>
                <wp:extent cx="3869690" cy="15875"/>
                <wp:effectExtent l="0" t="38100" r="0" b="41275"/>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690" cy="15875"/>
                        </a:xfrm>
                        <a:custGeom>
                          <a:avLst/>
                          <a:gdLst>
                            <a:gd name="T0" fmla="*/ 0 w 6094"/>
                            <a:gd name="T1" fmla="*/ 25 h 25"/>
                            <a:gd name="T2" fmla="*/ 6094 w 6094"/>
                            <a:gd name="T3" fmla="*/ 0 h 25"/>
                          </a:gdLst>
                          <a:ahLst/>
                          <a:cxnLst>
                            <a:cxn ang="0">
                              <a:pos x="T0" y="T1"/>
                            </a:cxn>
                            <a:cxn ang="0">
                              <a:pos x="T2" y="T3"/>
                            </a:cxn>
                          </a:cxnLst>
                          <a:rect l="0" t="0" r="r" b="b"/>
                          <a:pathLst>
                            <a:path w="6094" h="25">
                              <a:moveTo>
                                <a:pt x="0" y="25"/>
                              </a:moveTo>
                              <a:lnTo>
                                <a:pt x="6094" y="0"/>
                              </a:lnTo>
                            </a:path>
                          </a:pathLst>
                        </a:custGeom>
                        <a:noFill/>
                        <a:ln w="9525">
                          <a:noFill/>
                          <a:round/>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" filled="f" stroked="f">
                <v:path arrowok="t" o:connecttype="custom" o:connectlocs="0,15875;3869690,0" o:connectangles="0,0"/>
              </v:polyline>
            </w:pict>
          </mc:Fallback>
        </mc:AlternateContent>
      </w:r>
      <w:bookmarkStart w:id="5" w:name="MKsSingleOrMulti1"/>
      <w:bookmarkEnd w:id="5"/>
      <w:r>
        <w:rPr>
          <w:rFonts w:cs="David" w:hint="cs"/>
          <w:sz w:val="26"/>
          <w:szCs w:val="26"/>
          <w:rtl/>
        </w:rPr>
        <w:tab/>
      </w:r>
      <w:bookmarkStart w:id="6" w:name="MKs1"/>
      <w:bookmarkEnd w:id="6"/>
    </w:p>
    <w:p w:rsidR="00237B6F" w:rsidRDefault="00237B6F" w:rsidP="00237B6F">
      <w:pPr>
        <w:ind w:left="2919" w:firstLine="720"/>
        <w:rPr>
          <w:rFonts w:cs="David"/>
          <w:sz w:val="26"/>
          <w:szCs w:val="26"/>
          <w:rtl/>
        </w:rPr>
      </w:pPr>
      <w:r>
        <w:rPr>
          <w:rFonts w:cs="David"/>
          <w:noProof/>
          <w:sz w:val="26"/>
          <w:szCs w:val="26"/>
          <w:rtl/>
          <w:lang w:eastAsia="en-US"/>
        </w:rPr>
        <mc:AlternateContent>
          <mc:Choice Requires="wps">
            <w:drawing>
              <wp:anchor distT="0" distB="0" distL="114300" distR="114300" simplePos="0" relativeHeight="251659264" behindDoc="0" locked="0" layoutInCell="1" allowOverlap="1" wp14:anchorId="1C0CCEA3" wp14:editId="325FF7BE">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bookmarkStart w:id="7" w:name="LawNum"/>
      <w:r w:rsidR="00D745AC" w:rsidRPr="00D745AC">
        <w:rPr>
          <w:rFonts w:cs="David"/>
          <w:sz w:val="26"/>
          <w:szCs w:val="26"/>
          <w:rtl/>
        </w:rPr>
        <w:t>פ/2511/19</w:t>
      </w:r>
      <w:bookmarkEnd w:id="7"/>
      <w:r>
        <w:rPr>
          <w:rFonts w:cs="David" w:hint="cs"/>
          <w:sz w:val="26"/>
          <w:szCs w:val="26"/>
          <w:rtl/>
        </w:rPr>
        <w:tab/>
      </w:r>
      <w:r>
        <w:rPr>
          <w:rFonts w:cs="David" w:hint="cs"/>
          <w:sz w:val="26"/>
          <w:szCs w:val="26"/>
          <w:rtl/>
        </w:rPr>
        <w:tab/>
      </w:r>
      <w:r>
        <w:rPr>
          <w:rFonts w:cs="David" w:hint="cs"/>
          <w:sz w:val="26"/>
          <w:szCs w:val="26"/>
          <w:rtl/>
        </w:rPr>
        <w:tab/>
      </w:r>
    </w:p>
    <w:p w:rsidR="00237B6F" w:rsidRDefault="00237B6F" w:rsidP="00237B6F">
      <w:pPr>
        <w:spacing w:before="0" w:line="360" w:lineRule="auto"/>
        <w:ind w:left="2880" w:firstLine="720"/>
        <w:rPr>
          <w:rFonts w:cs="David"/>
          <w:sz w:val="26"/>
          <w:szCs w:val="26"/>
          <w:rtl/>
        </w:rPr>
      </w:pPr>
    </w:p>
    <w:p w:rsidR="00237B6F" w:rsidRDefault="00FA1B90" w:rsidP="00FA1B90">
      <w:pPr>
        <w:pStyle w:val="HeadHatzaotHok"/>
        <w:tabs>
          <w:tab w:val="left" w:pos="4071"/>
          <w:tab w:val="center" w:pos="4819"/>
        </w:tabs>
        <w:spacing w:before="0"/>
        <w:rPr>
          <w:sz w:val="26"/>
          <w:rtl/>
        </w:rPr>
      </w:pPr>
      <w:bookmarkStart w:id="8" w:name="Title"/>
      <w:r>
        <w:rPr>
          <w:sz w:val="26"/>
          <w:rtl/>
        </w:rPr>
        <w:t>הצעת חוק</w:t>
      </w:r>
      <w:r w:rsidR="00285B8C" w:rsidRPr="00285B8C">
        <w:rPr>
          <w:sz w:val="26"/>
          <w:rtl/>
        </w:rPr>
        <w:t xml:space="preserve"> שחרור על-תנאי ממאסר (תיקון </w:t>
      </w:r>
      <w:r w:rsidR="00D2672E">
        <w:rPr>
          <w:rFonts w:hint="cs"/>
          <w:sz w:val="26"/>
          <w:rtl/>
        </w:rPr>
        <w:t>–</w:t>
      </w:r>
      <w:r w:rsidR="00285B8C" w:rsidRPr="00285B8C">
        <w:rPr>
          <w:sz w:val="26"/>
          <w:rtl/>
        </w:rPr>
        <w:t xml:space="preserve"> הודאה בביצוע עבירה), התשע"ד</w:t>
      </w:r>
      <w:r w:rsidR="00D2672E">
        <w:rPr>
          <w:rFonts w:hint="cs"/>
          <w:sz w:val="26"/>
          <w:rtl/>
        </w:rPr>
        <w:t>–</w:t>
      </w:r>
      <w:r w:rsidR="00285B8C" w:rsidRPr="00285B8C">
        <w:rPr>
          <w:sz w:val="26"/>
          <w:rtl/>
        </w:rPr>
        <w:t>2014</w:t>
      </w:r>
      <w:bookmarkEnd w:id="8"/>
    </w:p>
    <w:p w:rsidR="00237B6F" w:rsidRDefault="00237B6F" w:rsidP="00237B6F">
      <w:pPr>
        <w:pStyle w:val="HeadHatzaotHok"/>
        <w:tabs>
          <w:tab w:val="left" w:pos="4071"/>
          <w:tab w:val="center" w:pos="4819"/>
        </w:tabs>
        <w:spacing w:before="0"/>
        <w:rPr>
          <w:sz w:val="26"/>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520"/>
      </w:tblGrid>
      <w:tr w:rsidR="00237B6F" w:rsidTr="00D2672E">
        <w:trPr>
          <w:cantSplit/>
        </w:trPr>
        <w:tc>
          <w:tcPr>
            <w:tcW w:w="1870" w:type="dxa"/>
          </w:tcPr>
          <w:p w:rsidR="00237B6F" w:rsidRPr="00E33CCC" w:rsidRDefault="00237B6F" w:rsidP="00E33CCC">
            <w:pPr>
              <w:pStyle w:val="TableSideHeading"/>
              <w:ind w:right="0"/>
            </w:pPr>
            <w:r w:rsidRPr="00E33CCC">
              <w:rPr>
                <w:rFonts w:hint="cs"/>
                <w:rtl/>
              </w:rPr>
              <w:t>תיקון סעיף 9</w:t>
            </w:r>
          </w:p>
        </w:tc>
        <w:tc>
          <w:tcPr>
            <w:tcW w:w="624" w:type="dxa"/>
          </w:tcPr>
          <w:p w:rsidR="00237B6F" w:rsidRDefault="00237B6F" w:rsidP="00E33CCC">
            <w:pPr>
              <w:pStyle w:val="TableText"/>
              <w:keepLines w:val="0"/>
              <w:numPr>
                <w:ilvl w:val="0"/>
                <w:numId w:val="12"/>
              </w:numPr>
            </w:pPr>
          </w:p>
        </w:tc>
        <w:tc>
          <w:tcPr>
            <w:tcW w:w="7144" w:type="dxa"/>
            <w:gridSpan w:val="2"/>
          </w:tcPr>
          <w:p w:rsidR="00237B6F" w:rsidRPr="00C34DE2" w:rsidRDefault="00237B6F" w:rsidP="00E33CCC">
            <w:pPr>
              <w:pStyle w:val="TableBlock"/>
            </w:pPr>
            <w:r w:rsidRPr="00E33CCC">
              <w:rPr>
                <w:rFonts w:hint="eastAsia"/>
                <w:rtl/>
              </w:rPr>
              <w:t>בחוק</w:t>
            </w:r>
            <w:r w:rsidRPr="00E33CCC">
              <w:rPr>
                <w:rtl/>
              </w:rPr>
              <w:t xml:space="preserve"> שחרור </w:t>
            </w:r>
            <w:r w:rsidR="00D2672E">
              <w:rPr>
                <w:rtl/>
              </w:rPr>
              <w:t>על-תנאי</w:t>
            </w:r>
            <w:r w:rsidRPr="00E33CCC">
              <w:rPr>
                <w:rtl/>
              </w:rPr>
              <w:t xml:space="preserve"> ממאסר, </w:t>
            </w:r>
            <w:r w:rsidRPr="00E33CCC">
              <w:rPr>
                <w:rFonts w:hint="eastAsia"/>
                <w:rtl/>
              </w:rPr>
              <w:t>התשס</w:t>
            </w:r>
            <w:r w:rsidRPr="00E33CCC">
              <w:rPr>
                <w:rtl/>
              </w:rPr>
              <w:t>"א</w:t>
            </w:r>
            <w:r w:rsidRPr="00E33CCC">
              <w:rPr>
                <w:rFonts w:hint="eastAsia"/>
                <w:rtl/>
              </w:rPr>
              <w:t>–</w:t>
            </w:r>
            <w:r w:rsidRPr="00E33CCC">
              <w:rPr>
                <w:rtl/>
              </w:rPr>
              <w:t>2001</w:t>
            </w:r>
            <w:r>
              <w:rPr>
                <w:rStyle w:val="a5"/>
                <w:rtl/>
              </w:rPr>
              <w:footnoteReference w:id="2"/>
            </w:r>
            <w:r>
              <w:rPr>
                <w:rFonts w:hint="cs"/>
                <w:rtl/>
              </w:rPr>
              <w:t>, בסעיף 9 –</w:t>
            </w:r>
            <w:r w:rsidRPr="00E33CCC">
              <w:rPr>
                <w:rtl/>
              </w:rPr>
              <w:t xml:space="preserve"> </w:t>
            </w:r>
          </w:p>
        </w:tc>
      </w:tr>
      <w:tr w:rsidR="00237B6F" w:rsidTr="00D2672E">
        <w:trPr>
          <w:cantSplit/>
        </w:trPr>
        <w:tc>
          <w:tcPr>
            <w:tcW w:w="1870" w:type="dxa"/>
          </w:tcPr>
          <w:p w:rsidR="00237B6F" w:rsidRDefault="00237B6F" w:rsidP="00E33CCC">
            <w:pPr>
              <w:pStyle w:val="TableSideHeading"/>
              <w:keepLines w:val="0"/>
              <w:rPr>
                <w:sz w:val="26"/>
                <w:rtl/>
              </w:rPr>
            </w:pPr>
          </w:p>
        </w:tc>
        <w:tc>
          <w:tcPr>
            <w:tcW w:w="624" w:type="dxa"/>
          </w:tcPr>
          <w:p w:rsidR="00237B6F" w:rsidRDefault="00237B6F" w:rsidP="00E33CCC">
            <w:pPr>
              <w:pStyle w:val="TableText"/>
            </w:pPr>
          </w:p>
        </w:tc>
        <w:tc>
          <w:tcPr>
            <w:tcW w:w="7144" w:type="dxa"/>
            <w:gridSpan w:val="2"/>
          </w:tcPr>
          <w:p w:rsidR="00237B6F" w:rsidRPr="001F2AEA" w:rsidRDefault="00237B6F" w:rsidP="00E33CCC">
            <w:pPr>
              <w:pStyle w:val="TableBlock"/>
              <w:rPr>
                <w:rtl/>
              </w:rPr>
            </w:pPr>
            <w:r w:rsidRPr="001F2AEA">
              <w:rPr>
                <w:rFonts w:hint="cs"/>
                <w:rtl/>
              </w:rPr>
              <w:t>(1</w:t>
            </w:r>
            <w:r>
              <w:rPr>
                <w:rFonts w:hint="cs"/>
                <w:rtl/>
              </w:rPr>
              <w:t>)</w:t>
            </w:r>
            <w:r>
              <w:rPr>
                <w:rFonts w:hint="cs"/>
                <w:rtl/>
              </w:rPr>
              <w:tab/>
              <w:t xml:space="preserve">בפסקה </w:t>
            </w:r>
            <w:r w:rsidRPr="002D02C2">
              <w:rPr>
                <w:rFonts w:hint="cs"/>
                <w:rtl/>
              </w:rPr>
              <w:t>(8)(ג), אחרי "מתאים לשיקום</w:t>
            </w:r>
            <w:r>
              <w:rPr>
                <w:rFonts w:hint="cs"/>
                <w:rtl/>
              </w:rPr>
              <w:t>;</w:t>
            </w:r>
            <w:r w:rsidRPr="002D02C2">
              <w:rPr>
                <w:rFonts w:hint="cs"/>
                <w:rtl/>
              </w:rPr>
              <w:t>" יבוא "ואולם, הכחשת האסיר את ביצוע העבירה בה הורשע, כשלעצמה, לא תהווה שיקול לעניין זה</w:t>
            </w:r>
            <w:r>
              <w:rPr>
                <w:rFonts w:hint="cs"/>
                <w:rtl/>
              </w:rPr>
              <w:t>;</w:t>
            </w:r>
            <w:r w:rsidRPr="002D02C2">
              <w:rPr>
                <w:rFonts w:hint="cs"/>
                <w:rtl/>
              </w:rPr>
              <w:t>"</w:t>
            </w:r>
          </w:p>
        </w:tc>
      </w:tr>
      <w:tr w:rsidR="00237B6F" w:rsidTr="00D2672E">
        <w:trPr>
          <w:cantSplit/>
        </w:trPr>
        <w:tc>
          <w:tcPr>
            <w:tcW w:w="1870" w:type="dxa"/>
          </w:tcPr>
          <w:p w:rsidR="00237B6F" w:rsidRDefault="00237B6F" w:rsidP="00E33CCC">
            <w:pPr>
              <w:pStyle w:val="TableSideHeading"/>
              <w:keepLines w:val="0"/>
              <w:rPr>
                <w:sz w:val="26"/>
                <w:rtl/>
              </w:rPr>
            </w:pPr>
          </w:p>
        </w:tc>
        <w:tc>
          <w:tcPr>
            <w:tcW w:w="624" w:type="dxa"/>
          </w:tcPr>
          <w:p w:rsidR="00237B6F" w:rsidRDefault="00237B6F" w:rsidP="00E33CCC">
            <w:pPr>
              <w:pStyle w:val="TableText"/>
            </w:pPr>
          </w:p>
        </w:tc>
        <w:tc>
          <w:tcPr>
            <w:tcW w:w="7144" w:type="dxa"/>
            <w:gridSpan w:val="2"/>
          </w:tcPr>
          <w:p w:rsidR="00237B6F" w:rsidRPr="001F2AEA" w:rsidRDefault="00237B6F" w:rsidP="00E33CCC">
            <w:pPr>
              <w:pStyle w:val="TableBlock"/>
              <w:rPr>
                <w:rtl/>
              </w:rPr>
            </w:pPr>
            <w:r>
              <w:rPr>
                <w:rFonts w:hint="cs"/>
                <w:rtl/>
              </w:rPr>
              <w:t>(2)</w:t>
            </w:r>
            <w:r>
              <w:rPr>
                <w:rtl/>
              </w:rPr>
              <w:tab/>
            </w:r>
            <w:r>
              <w:rPr>
                <w:rFonts w:hint="cs"/>
                <w:rtl/>
              </w:rPr>
              <w:t>אחרי פסקה (10) יבוא:</w:t>
            </w:r>
          </w:p>
        </w:tc>
      </w:tr>
      <w:tr w:rsidR="00D2672E" w:rsidTr="00D2672E">
        <w:trPr>
          <w:cantSplit/>
          <w:trHeight w:val="60"/>
        </w:trPr>
        <w:tc>
          <w:tcPr>
            <w:tcW w:w="1870" w:type="dxa"/>
          </w:tcPr>
          <w:p w:rsidR="00D2672E" w:rsidRDefault="00D2672E">
            <w:pPr>
              <w:pStyle w:val="TableSideHeading"/>
            </w:pPr>
          </w:p>
        </w:tc>
        <w:tc>
          <w:tcPr>
            <w:tcW w:w="624" w:type="dxa"/>
          </w:tcPr>
          <w:p w:rsidR="00D2672E" w:rsidRDefault="00D2672E">
            <w:pPr>
              <w:pStyle w:val="TableText"/>
            </w:pPr>
          </w:p>
        </w:tc>
        <w:tc>
          <w:tcPr>
            <w:tcW w:w="624" w:type="dxa"/>
          </w:tcPr>
          <w:p w:rsidR="00D2672E" w:rsidRDefault="00D2672E">
            <w:pPr>
              <w:pStyle w:val="TableText"/>
            </w:pPr>
          </w:p>
        </w:tc>
        <w:tc>
          <w:tcPr>
            <w:tcW w:w="6520" w:type="dxa"/>
          </w:tcPr>
          <w:p w:rsidR="00D2672E" w:rsidRDefault="00D2672E">
            <w:pPr>
              <w:pStyle w:val="TableBlock"/>
            </w:pPr>
            <w:r>
              <w:rPr>
                <w:rFonts w:hint="cs"/>
                <w:rtl/>
              </w:rPr>
              <w:t>"(11)</w:t>
            </w:r>
            <w:r>
              <w:rPr>
                <w:rFonts w:hint="cs"/>
                <w:rtl/>
              </w:rPr>
              <w:tab/>
            </w:r>
            <w:r w:rsidRPr="0054498E">
              <w:rPr>
                <w:rFonts w:hint="cs"/>
                <w:sz w:val="26"/>
                <w:rtl/>
              </w:rPr>
              <w:t xml:space="preserve">על אף האמור בסעיף זה, הכחשת האסיר את ביצוע העבירה בה הורשע, כשלעצמה, לא תהווה שיקול לשחרורו </w:t>
            </w:r>
            <w:r>
              <w:rPr>
                <w:rFonts w:hint="cs"/>
                <w:sz w:val="26"/>
                <w:rtl/>
              </w:rPr>
              <w:t>על-תנאי</w:t>
            </w:r>
            <w:r w:rsidRPr="0054498E">
              <w:rPr>
                <w:rFonts w:hint="cs"/>
                <w:sz w:val="26"/>
                <w:rtl/>
              </w:rPr>
              <w:t>."</w:t>
            </w:r>
          </w:p>
        </w:tc>
      </w:tr>
    </w:tbl>
    <w:p w:rsidR="00237B6F" w:rsidRPr="00E33CCC" w:rsidRDefault="00237B6F" w:rsidP="00D2672E">
      <w:pPr>
        <w:pStyle w:val="HeadDivreiHesber"/>
        <w:rPr>
          <w:rtl/>
        </w:rPr>
      </w:pPr>
      <w:r w:rsidRPr="00E33CCC">
        <w:rPr>
          <w:rtl/>
        </w:rPr>
        <w:t>דברי הסבר</w:t>
      </w:r>
    </w:p>
    <w:p w:rsidR="00237B6F" w:rsidRPr="001F2AEA" w:rsidRDefault="00237B6F" w:rsidP="00237B6F">
      <w:pPr>
        <w:pStyle w:val="Hesber"/>
        <w:rPr>
          <w:rtl/>
        </w:rPr>
      </w:pPr>
      <w:r w:rsidRPr="001F2AEA">
        <w:rPr>
          <w:rFonts w:hint="cs"/>
          <w:rtl/>
        </w:rPr>
        <w:t xml:space="preserve">תכליתה של הצעת חוק זו היא </w:t>
      </w:r>
      <w:r>
        <w:rPr>
          <w:rFonts w:hint="cs"/>
          <w:rtl/>
        </w:rPr>
        <w:t>עידוד</w:t>
      </w:r>
      <w:r w:rsidRPr="001F2AEA">
        <w:rPr>
          <w:rFonts w:hint="cs"/>
          <w:rtl/>
        </w:rPr>
        <w:t xml:space="preserve"> ו</w:t>
      </w:r>
      <w:r>
        <w:rPr>
          <w:rFonts w:hint="cs"/>
          <w:rtl/>
        </w:rPr>
        <w:t>הגברת</w:t>
      </w:r>
      <w:r w:rsidRPr="001F2AEA">
        <w:rPr>
          <w:rFonts w:hint="cs"/>
          <w:rtl/>
        </w:rPr>
        <w:t xml:space="preserve"> האפשרות לשחרור </w:t>
      </w:r>
      <w:r w:rsidR="00D2672E">
        <w:rPr>
          <w:rFonts w:hint="cs"/>
          <w:rtl/>
        </w:rPr>
        <w:t>על-תנאי</w:t>
      </w:r>
      <w:r w:rsidRPr="001F2AEA">
        <w:rPr>
          <w:rFonts w:hint="cs"/>
          <w:rtl/>
        </w:rPr>
        <w:t xml:space="preserve"> ממאסר לאסירים שראויים לכך</w:t>
      </w:r>
      <w:r>
        <w:rPr>
          <w:rFonts w:hint="cs"/>
          <w:rtl/>
        </w:rPr>
        <w:t>,</w:t>
      </w:r>
      <w:r w:rsidRPr="001F2AEA">
        <w:rPr>
          <w:rFonts w:hint="cs"/>
          <w:rtl/>
        </w:rPr>
        <w:t xml:space="preserve"> ובכך לתרום </w:t>
      </w:r>
      <w:r w:rsidRPr="00DA7C21">
        <w:rPr>
          <w:rFonts w:hint="cs"/>
          <w:rtl/>
        </w:rPr>
        <w:t>לשילובם ושיקומם בקהילה ו</w:t>
      </w:r>
      <w:r>
        <w:rPr>
          <w:rFonts w:hint="cs"/>
          <w:rtl/>
        </w:rPr>
        <w:t>למנוע</w:t>
      </w:r>
      <w:r w:rsidRPr="00DA7C21">
        <w:rPr>
          <w:rFonts w:hint="cs"/>
          <w:rtl/>
        </w:rPr>
        <w:t xml:space="preserve"> עבירות נוספות. תכליות אלו הן תכליות היסוד של הליך השחרור המוקדם </w:t>
      </w:r>
      <w:r>
        <w:rPr>
          <w:rFonts w:hint="cs"/>
          <w:rtl/>
        </w:rPr>
        <w:t xml:space="preserve">אשר </w:t>
      </w:r>
      <w:r w:rsidRPr="00DA7C21">
        <w:rPr>
          <w:rFonts w:hint="cs"/>
          <w:rtl/>
        </w:rPr>
        <w:t>קיבלו ביטוי בחק</w:t>
      </w:r>
      <w:r>
        <w:rPr>
          <w:rFonts w:hint="cs"/>
          <w:rtl/>
        </w:rPr>
        <w:t>יקה</w:t>
      </w:r>
      <w:r w:rsidRPr="00DA7C21">
        <w:rPr>
          <w:rFonts w:hint="cs"/>
          <w:rtl/>
        </w:rPr>
        <w:t xml:space="preserve"> ובפסיקה (ראו למשל: סעיפים 3</w:t>
      </w:r>
      <w:r>
        <w:rPr>
          <w:rFonts w:hint="cs"/>
          <w:rtl/>
        </w:rPr>
        <w:t xml:space="preserve"> ו-</w:t>
      </w:r>
      <w:r w:rsidRPr="00DA7C21">
        <w:rPr>
          <w:rFonts w:hint="cs"/>
          <w:rtl/>
        </w:rPr>
        <w:t xml:space="preserve">9 לחוק שחרור </w:t>
      </w:r>
      <w:r w:rsidR="00D2672E">
        <w:rPr>
          <w:rFonts w:hint="cs"/>
          <w:rtl/>
        </w:rPr>
        <w:t>על-תנאי</w:t>
      </w:r>
      <w:r w:rsidRPr="00DA7C21">
        <w:rPr>
          <w:rFonts w:hint="cs"/>
          <w:rtl/>
        </w:rPr>
        <w:t xml:space="preserve"> ממאסר, התשס"א</w:t>
      </w:r>
      <w:r>
        <w:rPr>
          <w:rFonts w:hint="eastAsia"/>
          <w:rtl/>
        </w:rPr>
        <w:t>–</w:t>
      </w:r>
      <w:r w:rsidRPr="00DA7C21">
        <w:rPr>
          <w:rFonts w:hint="cs"/>
          <w:rtl/>
        </w:rPr>
        <w:t xml:space="preserve">2001; </w:t>
      </w:r>
      <w:r w:rsidRPr="00E33CCC">
        <w:rPr>
          <w:rtl/>
        </w:rPr>
        <w:t>בג</w:t>
      </w:r>
      <w:r w:rsidRPr="001F2AEA">
        <w:rPr>
          <w:rFonts w:hint="cs"/>
          <w:rtl/>
        </w:rPr>
        <w:t>"</w:t>
      </w:r>
      <w:r w:rsidRPr="00E33CCC">
        <w:rPr>
          <w:rtl/>
        </w:rPr>
        <w:t>ץ</w:t>
      </w:r>
      <w:r w:rsidRPr="001F2AEA">
        <w:rPr>
          <w:rFonts w:hint="cs"/>
          <w:rtl/>
        </w:rPr>
        <w:t xml:space="preserve"> 4681/97 </w:t>
      </w:r>
      <w:r w:rsidRPr="00752870">
        <w:rPr>
          <w:rFonts w:hint="cs"/>
          <w:b/>
          <w:bCs/>
          <w:rtl/>
        </w:rPr>
        <w:t>היועץ המשפטי לממשלה נ' ועדת השחרורים – גוש צפון</w:t>
      </w:r>
      <w:r w:rsidRPr="001F2AEA">
        <w:rPr>
          <w:rFonts w:hint="cs"/>
          <w:rtl/>
        </w:rPr>
        <w:t xml:space="preserve">, </w:t>
      </w:r>
      <w:r w:rsidRPr="001F2AEA">
        <w:rPr>
          <w:rFonts w:hint="cs"/>
          <w:rtl/>
        </w:rPr>
        <w:br/>
      </w:r>
      <w:r w:rsidRPr="00E33CCC">
        <w:rPr>
          <w:rtl/>
        </w:rPr>
        <w:t>פ</w:t>
      </w:r>
      <w:r w:rsidRPr="001F2AEA">
        <w:rPr>
          <w:rFonts w:hint="cs"/>
          <w:rtl/>
        </w:rPr>
        <w:t>"</w:t>
      </w:r>
      <w:r w:rsidRPr="00E33CCC">
        <w:rPr>
          <w:rtl/>
        </w:rPr>
        <w:t>ד</w:t>
      </w:r>
      <w:r w:rsidRPr="001F2AEA">
        <w:rPr>
          <w:rFonts w:hint="cs"/>
          <w:rtl/>
        </w:rPr>
        <w:t xml:space="preserve"> </w:t>
      </w:r>
      <w:r w:rsidRPr="00E33CCC">
        <w:rPr>
          <w:rtl/>
        </w:rPr>
        <w:t>נא</w:t>
      </w:r>
      <w:r w:rsidRPr="001F2AEA">
        <w:rPr>
          <w:rFonts w:hint="cs"/>
          <w:rtl/>
        </w:rPr>
        <w:t>(4) 679, 684 (1997)</w:t>
      </w:r>
      <w:r>
        <w:rPr>
          <w:rFonts w:hint="cs"/>
          <w:rtl/>
        </w:rPr>
        <w:t>)</w:t>
      </w:r>
      <w:r w:rsidRPr="001F2AEA">
        <w:rPr>
          <w:rFonts w:hint="cs"/>
          <w:rtl/>
        </w:rPr>
        <w:t>.</w:t>
      </w:r>
    </w:p>
    <w:p w:rsidR="00237B6F" w:rsidRPr="00DA7C21" w:rsidRDefault="00237B6F" w:rsidP="00237B6F">
      <w:pPr>
        <w:pStyle w:val="Hesber"/>
      </w:pPr>
      <w:r w:rsidRPr="00DA7C21">
        <w:rPr>
          <w:rFonts w:hint="cs"/>
          <w:rtl/>
        </w:rPr>
        <w:t xml:space="preserve">בשיטות משפט רבות מקובל לראות בשחרור </w:t>
      </w:r>
      <w:r w:rsidR="00D2672E">
        <w:rPr>
          <w:rFonts w:hint="cs"/>
          <w:rtl/>
        </w:rPr>
        <w:t>על-תנאי</w:t>
      </w:r>
      <w:r w:rsidRPr="00DA7C21">
        <w:rPr>
          <w:rFonts w:hint="cs"/>
          <w:rtl/>
        </w:rPr>
        <w:t xml:space="preserve"> ממאסר ככלי בעל תכלית כפולה. מחד</w:t>
      </w:r>
      <w:r w:rsidR="00D2672E">
        <w:rPr>
          <w:rFonts w:hint="cs"/>
          <w:rtl/>
        </w:rPr>
        <w:t xml:space="preserve"> גיסא</w:t>
      </w:r>
      <w:r w:rsidRPr="00DA7C21">
        <w:rPr>
          <w:rFonts w:hint="cs"/>
          <w:rtl/>
        </w:rPr>
        <w:t xml:space="preserve">, הוא מאפשר לאסירים משוחררים </w:t>
      </w:r>
      <w:r w:rsidR="00D2672E">
        <w:rPr>
          <w:rFonts w:hint="cs"/>
          <w:rtl/>
        </w:rPr>
        <w:t>על-תנאי</w:t>
      </w:r>
      <w:r w:rsidRPr="00DA7C21">
        <w:rPr>
          <w:rFonts w:hint="cs"/>
          <w:rtl/>
        </w:rPr>
        <w:t xml:space="preserve"> לצמצם את מכאובי הכליאה ונזקיה</w:t>
      </w:r>
      <w:r>
        <w:rPr>
          <w:rFonts w:hint="cs"/>
          <w:rtl/>
        </w:rPr>
        <w:t>.</w:t>
      </w:r>
      <w:r w:rsidRPr="00DA7C21">
        <w:rPr>
          <w:rFonts w:hint="cs"/>
          <w:rtl/>
        </w:rPr>
        <w:t xml:space="preserve"> מאידך</w:t>
      </w:r>
      <w:r w:rsidR="00D2672E">
        <w:rPr>
          <w:rFonts w:hint="cs"/>
          <w:rtl/>
        </w:rPr>
        <w:t xml:space="preserve"> גיסא</w:t>
      </w:r>
      <w:r w:rsidRPr="00DA7C21">
        <w:rPr>
          <w:rFonts w:hint="cs"/>
          <w:rtl/>
        </w:rPr>
        <w:t xml:space="preserve">, יש בו </w:t>
      </w:r>
      <w:r>
        <w:rPr>
          <w:rFonts w:hint="cs"/>
          <w:rtl/>
        </w:rPr>
        <w:t xml:space="preserve">כדי </w:t>
      </w:r>
      <w:r w:rsidRPr="00DA7C21">
        <w:rPr>
          <w:rFonts w:hint="cs"/>
          <w:rtl/>
        </w:rPr>
        <w:t>לסלול את הדרך להשתלבותם המפוקחת חזרה בקהילה ובד בבד להגן על שלום הציבור (</w:t>
      </w:r>
      <w:r w:rsidRPr="00DA7C21">
        <w:t>Petersilia, 2003</w:t>
      </w:r>
      <w:r w:rsidRPr="00DA7C21">
        <w:rPr>
          <w:rFonts w:hint="cs"/>
          <w:rtl/>
        </w:rPr>
        <w:t xml:space="preserve">) (ראו: </w:t>
      </w:r>
      <w:r w:rsidRPr="00DA7C21">
        <w:t xml:space="preserve">Recommendation Rec (2003) 22 of the Committee of Ministers of member states on conditional release </w:t>
      </w:r>
      <w:r w:rsidRPr="00DA7C21">
        <w:lastRenderedPageBreak/>
        <w:t>(parole) Adopted by Committee of Ministers on 24 September 2003</w:t>
      </w:r>
      <w:r w:rsidRPr="00DA7C21">
        <w:rPr>
          <w:rFonts w:hint="cs"/>
          <w:rtl/>
        </w:rPr>
        <w:t>).</w:t>
      </w:r>
      <w:r w:rsidRPr="00DA7C21">
        <w:t xml:space="preserve"> </w:t>
      </w:r>
    </w:p>
    <w:p w:rsidR="00237B6F" w:rsidRPr="00101DFA" w:rsidRDefault="00237B6F" w:rsidP="00D2672E">
      <w:pPr>
        <w:pStyle w:val="Hesber"/>
        <w:rPr>
          <w:rtl/>
        </w:rPr>
      </w:pPr>
      <w:r w:rsidRPr="006A683F">
        <w:rPr>
          <w:rFonts w:hint="cs"/>
          <w:rtl/>
        </w:rPr>
        <w:t>בהחלטות ועדת השחרורים</w:t>
      </w:r>
      <w:r>
        <w:rPr>
          <w:rFonts w:hint="cs"/>
          <w:rtl/>
        </w:rPr>
        <w:t xml:space="preserve"> </w:t>
      </w:r>
      <w:r w:rsidRPr="006A683F">
        <w:rPr>
          <w:rFonts w:hint="cs"/>
          <w:rtl/>
        </w:rPr>
        <w:t xml:space="preserve">בישראל השתרשה הפרקטיקה </w:t>
      </w:r>
      <w:r w:rsidR="00D2672E">
        <w:rPr>
          <w:rFonts w:hint="cs"/>
          <w:rtl/>
        </w:rPr>
        <w:t>ש</w:t>
      </w:r>
      <w:r w:rsidRPr="006A683F">
        <w:rPr>
          <w:rFonts w:hint="cs"/>
          <w:rtl/>
        </w:rPr>
        <w:t xml:space="preserve">לעיתים </w:t>
      </w:r>
      <w:r w:rsidR="00D2672E">
        <w:rPr>
          <w:rFonts w:hint="cs"/>
          <w:rtl/>
        </w:rPr>
        <w:t xml:space="preserve">לפני </w:t>
      </w:r>
      <w:r w:rsidRPr="006A683F">
        <w:rPr>
          <w:rFonts w:hint="cs"/>
          <w:rtl/>
        </w:rPr>
        <w:t>להליך שיקומו של אסיר בבית הכלא עליו להודות בעבירה בה הורשע</w:t>
      </w:r>
      <w:r>
        <w:rPr>
          <w:rFonts w:hint="cs"/>
          <w:rtl/>
        </w:rPr>
        <w:t>,</w:t>
      </w:r>
      <w:r w:rsidRPr="006A683F">
        <w:rPr>
          <w:rFonts w:hint="cs"/>
          <w:rtl/>
        </w:rPr>
        <w:t xml:space="preserve"> הן כתנאי לקבלת טיפול ושילוב במסגרות שיקום בבית הכלא</w:t>
      </w:r>
      <w:r>
        <w:rPr>
          <w:rFonts w:hint="cs"/>
          <w:rtl/>
        </w:rPr>
        <w:t>,</w:t>
      </w:r>
      <w:r w:rsidRPr="006A683F">
        <w:rPr>
          <w:rFonts w:hint="cs"/>
          <w:rtl/>
        </w:rPr>
        <w:t xml:space="preserve"> הן כתנאי לקבלת תכנית שיקום בקהילה מטעם הרשות</w:t>
      </w:r>
      <w:r w:rsidRPr="0081124A">
        <w:rPr>
          <w:rFonts w:hint="cs"/>
          <w:rtl/>
        </w:rPr>
        <w:t xml:space="preserve"> לשיקום האסיר ואף כתנאי לקבלת שחרור </w:t>
      </w:r>
      <w:r w:rsidR="00D2672E">
        <w:rPr>
          <w:rFonts w:hint="cs"/>
          <w:rtl/>
        </w:rPr>
        <w:t>על-תנאי</w:t>
      </w:r>
      <w:r w:rsidRPr="0081124A">
        <w:rPr>
          <w:rFonts w:hint="cs"/>
          <w:rtl/>
        </w:rPr>
        <w:t xml:space="preserve"> ממאסר – דרישה אשר לא אחת מונעת מאסירים המעוניינים בשיקום ובטיפול שככלל התנהגו כראוי במהלך מאסרם ואשר היו ראויים לשחרור </w:t>
      </w:r>
      <w:r w:rsidR="00D2672E">
        <w:rPr>
          <w:rFonts w:hint="cs"/>
          <w:rtl/>
        </w:rPr>
        <w:t>על-תנאי</w:t>
      </w:r>
      <w:r w:rsidRPr="0081124A">
        <w:rPr>
          <w:rFonts w:hint="cs"/>
          <w:rtl/>
        </w:rPr>
        <w:t xml:space="preserve"> אלמלא הכחישו את ביצוע העבירה המיוחסת להם.</w:t>
      </w:r>
    </w:p>
    <w:p w:rsidR="00237B6F" w:rsidRPr="00101DFA" w:rsidRDefault="00237B6F" w:rsidP="00237B6F">
      <w:pPr>
        <w:pStyle w:val="Hesber"/>
        <w:rPr>
          <w:rtl/>
        </w:rPr>
      </w:pPr>
      <w:r w:rsidRPr="00101DFA">
        <w:rPr>
          <w:rFonts w:hint="cs"/>
          <w:rtl/>
        </w:rPr>
        <w:t xml:space="preserve">דרישת ההודאה בביצוע עבירה לצורך שחרור </w:t>
      </w:r>
      <w:r w:rsidR="00D2672E">
        <w:rPr>
          <w:rFonts w:hint="cs"/>
          <w:rtl/>
        </w:rPr>
        <w:t>על-תנאי</w:t>
      </w:r>
      <w:r w:rsidRPr="00101DFA">
        <w:rPr>
          <w:rFonts w:hint="cs"/>
          <w:rtl/>
        </w:rPr>
        <w:t xml:space="preserve"> ממאסר ושיקום אסירים מעלה קשיים לא מבוטלים:</w:t>
      </w:r>
    </w:p>
    <w:p w:rsidR="00237B6F" w:rsidRPr="00DA7C21" w:rsidRDefault="00237B6F" w:rsidP="00237B6F">
      <w:pPr>
        <w:pStyle w:val="Hesber"/>
        <w:rPr>
          <w:rtl/>
        </w:rPr>
      </w:pPr>
      <w:r w:rsidRPr="00E33CCC">
        <w:rPr>
          <w:rtl/>
        </w:rPr>
        <w:t>ראשית</w:t>
      </w:r>
      <w:r w:rsidRPr="001F2AEA">
        <w:rPr>
          <w:rFonts w:hint="cs"/>
          <w:rtl/>
        </w:rPr>
        <w:t>, ה</w:t>
      </w:r>
      <w:r>
        <w:rPr>
          <w:rFonts w:hint="cs"/>
          <w:rtl/>
        </w:rPr>
        <w:t>י</w:t>
      </w:r>
      <w:r w:rsidRPr="001F2AEA">
        <w:rPr>
          <w:rFonts w:hint="cs"/>
          <w:rtl/>
        </w:rPr>
        <w:t xml:space="preserve">עדר יכולת לברר את כנות קבלת האחריות של האסיר. לעיתים </w:t>
      </w:r>
      <w:r>
        <w:rPr>
          <w:rFonts w:hint="cs"/>
          <w:rtl/>
        </w:rPr>
        <w:t>ההודאה</w:t>
      </w:r>
      <w:r w:rsidRPr="001F2AEA">
        <w:rPr>
          <w:rFonts w:hint="cs"/>
          <w:rtl/>
        </w:rPr>
        <w:t xml:space="preserve"> נאמרת על ידי מי מהאסירים כמס שפתיים ואך לשם קבלת השחרור המוקדם. לעיתים ההכחשה אינה נובעת מחוסר קבלת אחריות על ידי האסיר אלא מסיבות ח</w:t>
      </w:r>
      <w:r w:rsidRPr="00DA7C21">
        <w:rPr>
          <w:rFonts w:hint="cs"/>
          <w:rtl/>
        </w:rPr>
        <w:t>יצוניות</w:t>
      </w:r>
      <w:r>
        <w:rPr>
          <w:rFonts w:hint="cs"/>
          <w:rtl/>
        </w:rPr>
        <w:t xml:space="preserve"> – </w:t>
      </w:r>
      <w:r w:rsidRPr="00DA7C21">
        <w:rPr>
          <w:rFonts w:hint="cs"/>
          <w:rtl/>
        </w:rPr>
        <w:t xml:space="preserve">משפחתיות או מחשש מפני מעמדו של האסיר בקרב אוכלוסיית האסירים. </w:t>
      </w:r>
    </w:p>
    <w:p w:rsidR="00237B6F" w:rsidRPr="00DA7C21" w:rsidRDefault="00237B6F" w:rsidP="00D2672E">
      <w:pPr>
        <w:pStyle w:val="Hesber"/>
        <w:rPr>
          <w:rtl/>
        </w:rPr>
      </w:pPr>
      <w:r w:rsidRPr="00E33CCC">
        <w:rPr>
          <w:rtl/>
        </w:rPr>
        <w:t>שנית</w:t>
      </w:r>
      <w:r w:rsidRPr="001F2AEA">
        <w:rPr>
          <w:rFonts w:hint="cs"/>
          <w:rtl/>
        </w:rPr>
        <w:t xml:space="preserve">, דרישה זו אף סותרת הכרה, המתחייבת ממהותה של מדינת ישראל כמדינה דמוקרטית, לפיה </w:t>
      </w:r>
      <w:r w:rsidR="00D2672E">
        <w:rPr>
          <w:rFonts w:hint="cs"/>
          <w:rtl/>
        </w:rPr>
        <w:t>י</w:t>
      </w:r>
      <w:r w:rsidRPr="001F2AEA">
        <w:rPr>
          <w:rFonts w:hint="cs"/>
          <w:rtl/>
        </w:rPr>
        <w:t xml:space="preserve">יתכן </w:t>
      </w:r>
      <w:r w:rsidR="00D2672E">
        <w:rPr>
          <w:rFonts w:hint="cs"/>
          <w:rtl/>
        </w:rPr>
        <w:t>ש</w:t>
      </w:r>
      <w:r w:rsidRPr="001F2AEA">
        <w:rPr>
          <w:rFonts w:hint="cs"/>
          <w:rtl/>
        </w:rPr>
        <w:t xml:space="preserve">יצאה שגגה תחת ידי מערכת אכיפת החוק ובתי המשפט ואסיר הורשע הרשעת שווא בגינה ריצה עונש מאסר על לא </w:t>
      </w:r>
      <w:r w:rsidRPr="00DA7C21">
        <w:rPr>
          <w:rFonts w:hint="cs"/>
          <w:rtl/>
        </w:rPr>
        <w:t>עוול בכפו</w:t>
      </w:r>
      <w:r>
        <w:rPr>
          <w:rFonts w:hint="cs"/>
          <w:rtl/>
        </w:rPr>
        <w:t>.</w:t>
      </w:r>
      <w:r w:rsidRPr="00DA7C21">
        <w:rPr>
          <w:rFonts w:hint="cs"/>
          <w:rtl/>
        </w:rPr>
        <w:t xml:space="preserve"> על כן ראוי שתעמוד לו הזכות להמשיך ולטעון לחפותו. </w:t>
      </w:r>
    </w:p>
    <w:p w:rsidR="00237B6F" w:rsidRPr="00DA7C21" w:rsidRDefault="00237B6F" w:rsidP="00237B6F">
      <w:pPr>
        <w:pStyle w:val="Hesber"/>
        <w:rPr>
          <w:rtl/>
        </w:rPr>
      </w:pPr>
      <w:r w:rsidRPr="00E33CCC">
        <w:rPr>
          <w:rtl/>
        </w:rPr>
        <w:t>שלישית</w:t>
      </w:r>
      <w:r w:rsidRPr="001F2AEA">
        <w:rPr>
          <w:rFonts w:hint="cs"/>
          <w:rtl/>
        </w:rPr>
        <w:t>, הגם שבמחקרים מדעיים מטה-אנליטיים לא נמצא קשר קונקלוסיבי ישיר ומוכח בין הוד</w:t>
      </w:r>
      <w:r>
        <w:rPr>
          <w:rFonts w:hint="cs"/>
          <w:rtl/>
        </w:rPr>
        <w:t>א</w:t>
      </w:r>
      <w:r w:rsidRPr="001F2AEA">
        <w:rPr>
          <w:rFonts w:hint="cs"/>
          <w:rtl/>
        </w:rPr>
        <w:t>ת אסיר בביצוע העבירה בה הורשע למידת מסוכנותו לציבור (</w:t>
      </w:r>
      <w:r w:rsidRPr="00DA7C21">
        <w:t>Hanson, Morton-Bourgon, 2004</w:t>
      </w:r>
      <w:r w:rsidRPr="00DA7C21">
        <w:rPr>
          <w:rFonts w:hint="cs"/>
          <w:rtl/>
        </w:rPr>
        <w:t>)</w:t>
      </w:r>
      <w:r>
        <w:rPr>
          <w:rFonts w:hint="cs"/>
          <w:rtl/>
        </w:rPr>
        <w:t>,</w:t>
      </w:r>
      <w:r w:rsidRPr="00DA7C21">
        <w:rPr>
          <w:rFonts w:hint="cs"/>
          <w:rtl/>
        </w:rPr>
        <w:t xml:space="preserve"> ועל אף שאין בנמצא הוכחה מדעית מובהקת לכך שככלל לצורך טיפול ושיקום אסירים נדרשת הוד</w:t>
      </w:r>
      <w:r>
        <w:rPr>
          <w:rFonts w:hint="cs"/>
          <w:rtl/>
        </w:rPr>
        <w:t>א</w:t>
      </w:r>
      <w:r w:rsidRPr="00DA7C21">
        <w:rPr>
          <w:rFonts w:hint="cs"/>
          <w:rtl/>
        </w:rPr>
        <w:t>תם כאמור (</w:t>
      </w:r>
      <w:r w:rsidRPr="00DA7C21">
        <w:t>Marshall, 2001</w:t>
      </w:r>
      <w:r w:rsidRPr="00DA7C21">
        <w:rPr>
          <w:rFonts w:hint="cs"/>
          <w:rtl/>
        </w:rPr>
        <w:t>ׂׂ), הרי שכ</w:t>
      </w:r>
      <w:r>
        <w:rPr>
          <w:rFonts w:hint="cs"/>
          <w:rtl/>
        </w:rPr>
        <w:t>פי שצוין</w:t>
      </w:r>
      <w:r w:rsidRPr="00DA7C21">
        <w:rPr>
          <w:rFonts w:hint="cs"/>
          <w:rtl/>
        </w:rPr>
        <w:t>, בפו</w:t>
      </w:r>
      <w:r w:rsidR="00D2672E">
        <w:rPr>
          <w:rFonts w:hint="cs"/>
          <w:rtl/>
        </w:rPr>
        <w:t>על-תנאי</w:t>
      </w:r>
      <w:r w:rsidRPr="00DA7C21">
        <w:rPr>
          <w:rFonts w:hint="cs"/>
          <w:rtl/>
        </w:rPr>
        <w:t xml:space="preserve"> מקדים לכניסה להליך שיקומי בבית הסוהר, לקבלת תכנית שיקום בקהילה מטעם הרשות לשיקום האסיר וממילא לשחרור </w:t>
      </w:r>
      <w:r w:rsidR="00D2672E">
        <w:rPr>
          <w:rFonts w:hint="cs"/>
          <w:rtl/>
        </w:rPr>
        <w:t>על-תנאי</w:t>
      </w:r>
      <w:r w:rsidRPr="00DA7C21">
        <w:rPr>
          <w:rFonts w:hint="cs"/>
          <w:rtl/>
        </w:rPr>
        <w:t xml:space="preserve"> מאסר הוא הוד</w:t>
      </w:r>
      <w:r>
        <w:rPr>
          <w:rFonts w:hint="cs"/>
          <w:rtl/>
        </w:rPr>
        <w:t>א</w:t>
      </w:r>
      <w:r w:rsidRPr="00DA7C21">
        <w:rPr>
          <w:rFonts w:hint="cs"/>
          <w:rtl/>
        </w:rPr>
        <w:t xml:space="preserve">ת האסיר בעבירה בה הורשע ולעיתים זו מלווה בצורך להבעת חרטה וקבלת אחריות מפורשת לביצועה. </w:t>
      </w:r>
    </w:p>
    <w:p w:rsidR="00237B6F" w:rsidRPr="00101DFA" w:rsidRDefault="00237B6F" w:rsidP="00D2672E">
      <w:pPr>
        <w:pStyle w:val="Hesber"/>
        <w:rPr>
          <w:rtl/>
        </w:rPr>
      </w:pPr>
      <w:r w:rsidRPr="00DA7C21">
        <w:rPr>
          <w:rFonts w:hint="cs"/>
          <w:rtl/>
        </w:rPr>
        <w:t xml:space="preserve">זאת ועוד, מחקרים אמפיריים מלמדים כי אסירים המכחישים את ביצוע העבירה </w:t>
      </w:r>
      <w:r w:rsidR="00D2672E">
        <w:rPr>
          <w:rFonts w:hint="cs"/>
          <w:rtl/>
        </w:rPr>
        <w:t>ש</w:t>
      </w:r>
      <w:r w:rsidRPr="00DA7C21">
        <w:rPr>
          <w:rFonts w:hint="cs"/>
          <w:rtl/>
        </w:rPr>
        <w:t>בה הורשעו ואשר בגינה הם מרצים את עונש המאסר מדורגים ברמת מסוכנות גבוהה בהרבה מ</w:t>
      </w:r>
      <w:r>
        <w:rPr>
          <w:rFonts w:hint="cs"/>
          <w:rtl/>
        </w:rPr>
        <w:t>רמת מ</w:t>
      </w:r>
      <w:r w:rsidRPr="00DA7C21">
        <w:rPr>
          <w:rFonts w:hint="cs"/>
          <w:rtl/>
        </w:rPr>
        <w:t>סוכנותם האמיתית (</w:t>
      </w:r>
      <w:r w:rsidRPr="00DA7C21">
        <w:t>Hood et al, 2002; Nunes, 2007</w:t>
      </w:r>
      <w:r w:rsidRPr="00DA7C21">
        <w:rPr>
          <w:rFonts w:hint="cs"/>
          <w:rtl/>
        </w:rPr>
        <w:t xml:space="preserve">; לסקירה מקיפה ראו: </w:t>
      </w:r>
      <w:r w:rsidRPr="006A683F">
        <w:t>Medwed, 2008</w:t>
      </w:r>
      <w:r w:rsidRPr="006A683F">
        <w:rPr>
          <w:rFonts w:hint="cs"/>
          <w:rtl/>
        </w:rPr>
        <w:t xml:space="preserve">). מציאות זו מובילה למצב לא ראוי לפיו אסירים רבים מרצים עד תום את תקופת מאסרם בלי שעברו הליך טיפול ושיקום, אינם זוכים לשחרור </w:t>
      </w:r>
      <w:r w:rsidR="00D2672E">
        <w:rPr>
          <w:rFonts w:hint="cs"/>
          <w:rtl/>
        </w:rPr>
        <w:t>על-תנאי</w:t>
      </w:r>
      <w:r w:rsidRPr="006A683F">
        <w:rPr>
          <w:rFonts w:hint="cs"/>
          <w:rtl/>
        </w:rPr>
        <w:t xml:space="preserve"> למרות שהיו ראויים לכך </w:t>
      </w:r>
      <w:r w:rsidR="00D2672E">
        <w:rPr>
          <w:rFonts w:hint="cs"/>
          <w:rtl/>
        </w:rPr>
        <w:t>ו</w:t>
      </w:r>
      <w:r w:rsidRPr="006A683F">
        <w:rPr>
          <w:rFonts w:hint="cs"/>
          <w:rtl/>
        </w:rPr>
        <w:t>עשויים לסכן את שלום הציבור בניגוד לתכלית החוק. בהקש</w:t>
      </w:r>
      <w:r w:rsidRPr="0081124A">
        <w:rPr>
          <w:rFonts w:hint="cs"/>
          <w:rtl/>
        </w:rPr>
        <w:t>ר לכך, מומחים מתחומי הערכת המסוכנות וכאלו העוסקים בטיפול ושיקום אסירים בישראל, הוכיחו בעבודתם לאורך השנים כי ניתן לטפל באסירים מורשעים ובייחוד עברייני מין מכחישים בטכניקה המתמקדת בגורמים קרימינוגניים אשר מתייחסת לעניין ההכחשה/ההודאה כמשתנה שאינו תלוי בהצ</w:t>
      </w:r>
      <w:r w:rsidRPr="00101DFA">
        <w:rPr>
          <w:rFonts w:hint="cs"/>
          <w:rtl/>
        </w:rPr>
        <w:t xml:space="preserve">לחת הטיפול. </w:t>
      </w:r>
    </w:p>
    <w:p w:rsidR="00237B6F" w:rsidRPr="00DA7C21" w:rsidRDefault="00237B6F" w:rsidP="00237B6F">
      <w:pPr>
        <w:pStyle w:val="Hesber"/>
      </w:pPr>
      <w:r w:rsidRPr="00101DFA">
        <w:rPr>
          <w:rFonts w:hint="cs"/>
          <w:rtl/>
        </w:rPr>
        <w:t>כאמור</w:t>
      </w:r>
      <w:r>
        <w:rPr>
          <w:rFonts w:hint="cs"/>
          <w:rtl/>
        </w:rPr>
        <w:t>,</w:t>
      </w:r>
      <w:r w:rsidRPr="00101DFA">
        <w:rPr>
          <w:rFonts w:hint="cs"/>
          <w:rtl/>
        </w:rPr>
        <w:t xml:space="preserve"> ה</w:t>
      </w:r>
      <w:r>
        <w:rPr>
          <w:rFonts w:hint="cs"/>
          <w:rtl/>
        </w:rPr>
        <w:t>י</w:t>
      </w:r>
      <w:r w:rsidRPr="00101DFA">
        <w:rPr>
          <w:rFonts w:hint="cs"/>
          <w:rtl/>
        </w:rPr>
        <w:t>עדר התחשבות בשאלת הוד</w:t>
      </w:r>
      <w:r>
        <w:rPr>
          <w:rFonts w:hint="cs"/>
          <w:rtl/>
        </w:rPr>
        <w:t>א</w:t>
      </w:r>
      <w:r w:rsidRPr="00101DFA">
        <w:rPr>
          <w:rFonts w:hint="cs"/>
          <w:rtl/>
        </w:rPr>
        <w:t>ת האסיר בשלב השחרור המוקדם</w:t>
      </w:r>
      <w:r>
        <w:rPr>
          <w:rFonts w:hint="cs"/>
          <w:rtl/>
        </w:rPr>
        <w:t xml:space="preserve"> בישראל</w:t>
      </w:r>
      <w:r w:rsidRPr="00101DFA">
        <w:rPr>
          <w:rFonts w:hint="cs"/>
          <w:rtl/>
        </w:rPr>
        <w:t>, כשלעצמה, נלמדת גם מהמשפט המשווה. כך למשל, באנגליה נקבע לא אחת בפסיקת בתי המשפט כי הכחשת אסיר כש</w:t>
      </w:r>
      <w:r>
        <w:rPr>
          <w:rFonts w:hint="cs"/>
          <w:rtl/>
        </w:rPr>
        <w:t>ל</w:t>
      </w:r>
      <w:r w:rsidRPr="00101DFA">
        <w:rPr>
          <w:rFonts w:hint="cs"/>
          <w:rtl/>
        </w:rPr>
        <w:t xml:space="preserve">עצמה ולבדה לא תעמוד לו לרועץ בעת דיון בשאלת שחרורו </w:t>
      </w:r>
      <w:r w:rsidR="00D2672E">
        <w:rPr>
          <w:rFonts w:hint="cs"/>
          <w:rtl/>
        </w:rPr>
        <w:t>על-תנאי</w:t>
      </w:r>
      <w:r w:rsidRPr="00101DFA">
        <w:rPr>
          <w:rFonts w:hint="cs"/>
          <w:rtl/>
        </w:rPr>
        <w:t xml:space="preserve"> ממאסר ו/או בקבלת טיפול ושיקום במאסר או בקהילה (ראו: </w:t>
      </w:r>
      <w:r w:rsidRPr="00E33CCC">
        <w:t>R v Home Secretary, ex p Zulfikar [1996] COD 256; R v Home Secretary, ex p Lillycrop, [1996]; R v Parole Board and the Home Secretary, ex p Oyston [ 2000]</w:t>
      </w:r>
      <w:r w:rsidRPr="001F2AEA">
        <w:rPr>
          <w:rFonts w:hint="cs"/>
          <w:rtl/>
        </w:rPr>
        <w:t>).</w:t>
      </w:r>
    </w:p>
    <w:p w:rsidR="0039033C" w:rsidRDefault="0039033C" w:rsidP="00237B6F">
      <w:pPr>
        <w:pStyle w:val="Hesber"/>
        <w:rPr>
          <w:rtl/>
        </w:rPr>
      </w:pPr>
    </w:p>
    <w:p w:rsidR="00237B6F" w:rsidRPr="00DA7C21" w:rsidRDefault="00237B6F" w:rsidP="00237B6F">
      <w:pPr>
        <w:pStyle w:val="Hesber"/>
        <w:rPr>
          <w:rtl/>
        </w:rPr>
      </w:pPr>
      <w:r w:rsidRPr="00E33CCC">
        <w:rPr>
          <w:rtl/>
        </w:rPr>
        <w:lastRenderedPageBreak/>
        <w:t xml:space="preserve">אף בבית המשפט העליון נשמעה הסתייגות מעצם דרישת תנאי זה לצורך טיפול ושיקום באסירים בבתי הסוהר (ראו למשל לעניין זה בג"צ 6067/11 </w:t>
      </w:r>
      <w:r w:rsidRPr="00E33CCC">
        <w:rPr>
          <w:b/>
          <w:bCs/>
          <w:rtl/>
        </w:rPr>
        <w:t>הפרקליט הצבאי הראשי נ' הוועדה הצבאית לעיון בעונש</w:t>
      </w:r>
      <w:r w:rsidRPr="00E33CCC">
        <w:rPr>
          <w:rtl/>
        </w:rPr>
        <w:t xml:space="preserve"> (פורסם ביום 2.2.2012) בו ציין השופט רובינשטיין כי "ואמנם לעניין זה שאלה גדולה היא אם התכחשות מצדיקה כי לא ייערך הליך טיפולי למכחיש. כשלעצמי מסופקני מאוד בכך... ואולם, מסוכנות אינה שוללת על פניה, ואולי אדרבה, קיום תכנית טיפולית. נזדמן לי מספר פעמים להביע דעתי, "שאין לנעול דלת טיפול גם בפני מכחישים"</w:t>
      </w:r>
      <w:r>
        <w:rPr>
          <w:rFonts w:hint="cs"/>
          <w:rtl/>
        </w:rPr>
        <w:t>...</w:t>
      </w:r>
      <w:r w:rsidRPr="00E33CCC">
        <w:rPr>
          <w:rtl/>
        </w:rPr>
        <w:t xml:space="preserve"> קרי, כי עמדת המערכת ראויה לבחינה מקצועית מחודשת. ניתן להבין מנין גישה נובעת, אך יתכנו מן הסתם גם מקרים לא מעטים שבהם עברייני מין מכחישים את העבירות מטעמים חברתיים ומטעמי בושה. מניסיוני בביקורים רבים בבתי סוהר למדתי, כי המבקר ייטיב אם יימנע משאול את האסירים בתאים אליהם הוא נכנס על מה נשפטו, ועדיף כי יגביל עצמו לשאלות </w:t>
      </w:r>
      <w:r w:rsidR="00D2672E">
        <w:rPr>
          <w:rtl/>
        </w:rPr>
        <w:t>על-תנאי</w:t>
      </w:r>
      <w:r w:rsidRPr="00E33CCC">
        <w:rPr>
          <w:rtl/>
        </w:rPr>
        <w:t xml:space="preserve"> המאסר וכדומה ומסביב לאלה. זאת </w:t>
      </w:r>
      <w:r>
        <w:rPr>
          <w:rFonts w:hint="eastAsia"/>
          <w:rtl/>
        </w:rPr>
        <w:t>–</w:t>
      </w:r>
      <w:r w:rsidRPr="00E33CCC">
        <w:rPr>
          <w:rtl/>
        </w:rPr>
        <w:t xml:space="preserve"> שכן אסירים השפוטים בעבירות מין בושים לומר את הדבר בנוכחות חבריהם לתא, אף שניתן להניח כי אינו נסתר מעיניהם של הללו"</w:t>
      </w:r>
      <w:r w:rsidRPr="00E33CCC">
        <w:t>.</w:t>
      </w:r>
      <w:r w:rsidRPr="00E33CCC">
        <w:rPr>
          <w:rtl/>
        </w:rPr>
        <w:t xml:space="preserve"> </w:t>
      </w:r>
      <w:r w:rsidRPr="001F2AEA">
        <w:rPr>
          <w:rFonts w:hint="cs"/>
          <w:rtl/>
        </w:rPr>
        <w:t>הוסיף עוד עליו השופט מלצר (בפסקה 79 לפסק דינו): "</w:t>
      </w:r>
      <w:r w:rsidRPr="00DA7C21">
        <w:rPr>
          <w:rFonts w:hint="cs"/>
          <w:rtl/>
        </w:rPr>
        <w:t xml:space="preserve">עם זאת יש לציין שוב כי העובדה שעבריין מין ממשיך להכחיש את המעשים שבהם הורשע – אין משמעה, כשלעצמה, כי סגורה בפניו הדרך לשחרור מוקדם ממאסר. דרך התנהלותו של עבריין המין המכחיש תוכל אף היא ללמד לעתים כי חרף הכחשתו הוא בכל זאת "ראוי לשחרור", כאמור בחוק שחרור </w:t>
      </w:r>
      <w:r w:rsidR="00D2672E">
        <w:rPr>
          <w:rFonts w:hint="cs"/>
          <w:rtl/>
        </w:rPr>
        <w:t>על-תנאי</w:t>
      </w:r>
      <w:r w:rsidRPr="00DA7C21">
        <w:rPr>
          <w:rFonts w:hint="cs"/>
          <w:rtl/>
        </w:rPr>
        <w:t xml:space="preserve"> ממאסר, הכל, כמובן, על רקע מכלול השיקולים הנוגעים לעניינו..."</w:t>
      </w:r>
    </w:p>
    <w:p w:rsidR="00E13C27" w:rsidRDefault="00237B6F" w:rsidP="00D2672E">
      <w:pPr>
        <w:pStyle w:val="Hesber"/>
        <w:rPr>
          <w:rtl/>
        </w:rPr>
      </w:pPr>
      <w:r w:rsidRPr="00DA7C21">
        <w:rPr>
          <w:rFonts w:hint="cs"/>
          <w:rtl/>
        </w:rPr>
        <w:t xml:space="preserve">אשר על כן, </w:t>
      </w:r>
      <w:r w:rsidR="00D2672E">
        <w:rPr>
          <w:rFonts w:hint="cs"/>
          <w:rtl/>
        </w:rPr>
        <w:t>מוצע</w:t>
      </w:r>
      <w:r w:rsidRPr="00DA7C21">
        <w:rPr>
          <w:rFonts w:hint="cs"/>
          <w:rtl/>
        </w:rPr>
        <w:t xml:space="preserve"> לתקן את סעיף 9(8)(ג) לחוק הנוגע לחוות דעת הרשות לשיקום האסיר</w:t>
      </w:r>
      <w:r>
        <w:rPr>
          <w:rFonts w:hint="cs"/>
          <w:rtl/>
        </w:rPr>
        <w:t>,</w:t>
      </w:r>
      <w:r w:rsidRPr="00DA7C21">
        <w:rPr>
          <w:rFonts w:hint="cs"/>
          <w:rtl/>
        </w:rPr>
        <w:t xml:space="preserve"> </w:t>
      </w:r>
      <w:r w:rsidR="00D2672E">
        <w:rPr>
          <w:rFonts w:hint="cs"/>
          <w:rtl/>
        </w:rPr>
        <w:t xml:space="preserve">כך </w:t>
      </w:r>
      <w:r w:rsidRPr="00DA7C21">
        <w:rPr>
          <w:rFonts w:hint="cs"/>
          <w:rtl/>
        </w:rPr>
        <w:t>שהכחשת אסיר ל</w:t>
      </w:r>
      <w:r w:rsidR="00D2672E">
        <w:rPr>
          <w:rFonts w:hint="cs"/>
          <w:rtl/>
        </w:rPr>
        <w:t xml:space="preserve">גבי </w:t>
      </w:r>
      <w:r w:rsidRPr="00DA7C21">
        <w:rPr>
          <w:rFonts w:hint="cs"/>
          <w:rtl/>
        </w:rPr>
        <w:t xml:space="preserve">ביצוע העבירה </w:t>
      </w:r>
      <w:r w:rsidR="00D2672E">
        <w:rPr>
          <w:rFonts w:hint="cs"/>
          <w:rtl/>
        </w:rPr>
        <w:t>ש</w:t>
      </w:r>
      <w:r w:rsidRPr="00DA7C21">
        <w:rPr>
          <w:rFonts w:hint="cs"/>
          <w:rtl/>
        </w:rPr>
        <w:t xml:space="preserve">בגינה הורשע לא תהווה שיקול לעניין אי התאמתו לשיקום </w:t>
      </w:r>
      <w:r w:rsidR="00D2672E">
        <w:rPr>
          <w:rFonts w:hint="cs"/>
          <w:rtl/>
        </w:rPr>
        <w:t>וית</w:t>
      </w:r>
      <w:r w:rsidRPr="00DA7C21">
        <w:rPr>
          <w:rFonts w:hint="cs"/>
          <w:rtl/>
        </w:rPr>
        <w:t xml:space="preserve">אפשר לו לקבל טיפול ושיקום כנדרש במקרה המתאים. כמו כן, </w:t>
      </w:r>
      <w:r w:rsidR="00D2672E">
        <w:rPr>
          <w:rFonts w:hint="cs"/>
          <w:rtl/>
        </w:rPr>
        <w:t xml:space="preserve">מוצע </w:t>
      </w:r>
      <w:r w:rsidRPr="00DA7C21">
        <w:rPr>
          <w:rFonts w:hint="cs"/>
          <w:rtl/>
        </w:rPr>
        <w:t xml:space="preserve">להוסיף את </w:t>
      </w:r>
      <w:r w:rsidR="00D2672E">
        <w:rPr>
          <w:rFonts w:hint="cs"/>
          <w:rtl/>
        </w:rPr>
        <w:t xml:space="preserve">פסקה </w:t>
      </w:r>
      <w:r w:rsidRPr="00DA7C21">
        <w:rPr>
          <w:rFonts w:hint="cs"/>
          <w:rtl/>
        </w:rPr>
        <w:t>(11) הנוגע</w:t>
      </w:r>
      <w:r w:rsidR="00D2672E">
        <w:rPr>
          <w:rFonts w:hint="cs"/>
          <w:rtl/>
        </w:rPr>
        <w:t>ת</w:t>
      </w:r>
      <w:r w:rsidRPr="00DA7C21">
        <w:rPr>
          <w:rFonts w:hint="cs"/>
          <w:rtl/>
        </w:rPr>
        <w:t xml:space="preserve"> לשיקולי הוועדה בהתאם לסעיף 9 לחוק </w:t>
      </w:r>
      <w:r w:rsidR="00D2672E">
        <w:rPr>
          <w:rFonts w:hint="cs"/>
          <w:rtl/>
        </w:rPr>
        <w:t xml:space="preserve">ולקבוע כי </w:t>
      </w:r>
      <w:r w:rsidRPr="00DA7C21">
        <w:rPr>
          <w:rFonts w:hint="cs"/>
          <w:rtl/>
        </w:rPr>
        <w:t xml:space="preserve">במניין שיקולי ועדת השחרורים לעניין שחרור </w:t>
      </w:r>
      <w:r w:rsidR="00D2672E">
        <w:rPr>
          <w:rFonts w:hint="cs"/>
          <w:rtl/>
        </w:rPr>
        <w:t>על-תנאי</w:t>
      </w:r>
      <w:r w:rsidRPr="00DA7C21">
        <w:rPr>
          <w:rFonts w:hint="cs"/>
          <w:rtl/>
        </w:rPr>
        <w:t xml:space="preserve"> של אסיר לא תבוא הכחשת אסיר את ביצוע העבירה, כשלעצמה, כשיקול במניין שיקוליה לעניין שחרורו </w:t>
      </w:r>
      <w:r w:rsidR="00D2672E">
        <w:rPr>
          <w:rFonts w:hint="cs"/>
          <w:rtl/>
        </w:rPr>
        <w:t>על-תנאי</w:t>
      </w:r>
      <w:r w:rsidRPr="00DA7C21">
        <w:rPr>
          <w:rFonts w:hint="cs"/>
          <w:rtl/>
        </w:rPr>
        <w:t xml:space="preserve">. </w:t>
      </w:r>
    </w:p>
    <w:p w:rsidR="0039033C" w:rsidRDefault="0039033C" w:rsidP="00D2672E">
      <w:pPr>
        <w:pStyle w:val="Hesber"/>
        <w:rPr>
          <w:rtl/>
        </w:rPr>
      </w:pPr>
    </w:p>
    <w:p w:rsidR="0039033C" w:rsidRDefault="0039033C" w:rsidP="00F70AA7">
      <w:pPr>
        <w:pStyle w:val="Hesber"/>
        <w:rPr>
          <w:rtl/>
        </w:rPr>
      </w:pPr>
    </w:p>
    <w:p w:rsidR="0039033C" w:rsidRDefault="0039033C" w:rsidP="00F70AA7">
      <w:pPr>
        <w:pStyle w:val="Hesber"/>
        <w:rPr>
          <w:rtl/>
        </w:rPr>
      </w:pPr>
    </w:p>
    <w:p w:rsidR="0039033C" w:rsidRPr="00343B55" w:rsidRDefault="0039033C" w:rsidP="00F70AA7">
      <w:pPr>
        <w:pStyle w:val="Hesber"/>
        <w:rPr>
          <w:rtl/>
        </w:rPr>
      </w:pPr>
    </w:p>
    <w:p w:rsidR="0039033C" w:rsidRPr="00343B55" w:rsidRDefault="0039033C" w:rsidP="00F70AA7">
      <w:pPr>
        <w:pStyle w:val="Hesber"/>
        <w:rPr>
          <w:rtl/>
        </w:rPr>
      </w:pPr>
      <w:r w:rsidRPr="00343B55">
        <w:rPr>
          <w:rtl/>
        </w:rPr>
        <w:t>---------------------------------</w:t>
      </w:r>
    </w:p>
    <w:p w:rsidR="0039033C" w:rsidRPr="00343B55" w:rsidRDefault="0039033C" w:rsidP="00F70AA7">
      <w:pPr>
        <w:pStyle w:val="Hesber"/>
        <w:rPr>
          <w:rtl/>
        </w:rPr>
      </w:pPr>
      <w:r w:rsidRPr="00343B55">
        <w:rPr>
          <w:rtl/>
        </w:rPr>
        <w:t>הוגשה ליו"ר הכנסת והסגנים</w:t>
      </w:r>
    </w:p>
    <w:p w:rsidR="0039033C" w:rsidRPr="00343B55" w:rsidRDefault="0039033C" w:rsidP="00F70AA7">
      <w:pPr>
        <w:pStyle w:val="Hesber"/>
        <w:rPr>
          <w:rtl/>
        </w:rPr>
      </w:pPr>
      <w:r w:rsidRPr="00343B55">
        <w:rPr>
          <w:rtl/>
        </w:rPr>
        <w:t>והונחה על שולחן הכנסת ביום</w:t>
      </w:r>
    </w:p>
    <w:p w:rsidR="0039033C" w:rsidRPr="00237B6F" w:rsidRDefault="0039033C" w:rsidP="0039033C">
      <w:pPr>
        <w:pStyle w:val="Hesber"/>
        <w:rPr>
          <w:rtl/>
        </w:rPr>
      </w:pPr>
      <w:r>
        <w:rPr>
          <w:rFonts w:hint="cs"/>
          <w:rtl/>
        </w:rPr>
        <w:t>ד' בסיוון</w:t>
      </w:r>
      <w:r w:rsidRPr="00343B55">
        <w:rPr>
          <w:rFonts w:hint="cs"/>
          <w:rtl/>
        </w:rPr>
        <w:t xml:space="preserve"> התשע"</w:t>
      </w:r>
      <w:r>
        <w:rPr>
          <w:rFonts w:hint="cs"/>
          <w:rtl/>
        </w:rPr>
        <w:t>ד</w:t>
      </w:r>
      <w:r w:rsidRPr="00343B55">
        <w:rPr>
          <w:rFonts w:hint="cs"/>
          <w:rtl/>
        </w:rPr>
        <w:t xml:space="preserve"> </w:t>
      </w:r>
      <w:r w:rsidRPr="00343B55">
        <w:rPr>
          <w:rtl/>
        </w:rPr>
        <w:t>–</w:t>
      </w:r>
      <w:r>
        <w:rPr>
          <w:rFonts w:hint="cs"/>
          <w:rtl/>
        </w:rPr>
        <w:t xml:space="preserve"> 2.6.14</w:t>
      </w:r>
    </w:p>
    <w:sectPr w:rsidR="0039033C" w:rsidRPr="00237B6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2D" w:rsidRDefault="001E2A2D">
      <w:r>
        <w:separator/>
      </w:r>
    </w:p>
  </w:endnote>
  <w:endnote w:type="continuationSeparator" w:id="0">
    <w:p w:rsidR="001E2A2D" w:rsidRDefault="001E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1A0623" w:rsidRDefault="001A06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112A8E">
      <w:rPr>
        <w:rStyle w:val="aa"/>
        <w:noProof/>
        <w:rtl/>
      </w:rPr>
      <w:t>2</w:t>
    </w:r>
    <w:r>
      <w:rPr>
        <w:rStyle w:val="aa"/>
        <w:rtl/>
      </w:rPr>
      <w:fldChar w:fldCharType="end"/>
    </w:r>
  </w:p>
  <w:p w:rsidR="001A0623" w:rsidRDefault="001A0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2D" w:rsidRDefault="001E2A2D">
      <w:r>
        <w:separator/>
      </w:r>
    </w:p>
  </w:footnote>
  <w:footnote w:type="continuationSeparator" w:id="0">
    <w:p w:rsidR="001E2A2D" w:rsidRDefault="001E2A2D">
      <w:r>
        <w:continuationSeparator/>
      </w:r>
    </w:p>
  </w:footnote>
  <w:footnote w:type="continuationNotice" w:id="1">
    <w:p w:rsidR="001E2A2D" w:rsidRDefault="001E2A2D"/>
  </w:footnote>
  <w:footnote w:id="2">
    <w:p w:rsidR="00237B6F" w:rsidRDefault="00237B6F" w:rsidP="00237B6F">
      <w:pPr>
        <w:pStyle w:val="a4"/>
        <w:rPr>
          <w:rtl/>
        </w:rPr>
      </w:pPr>
      <w:r>
        <w:rPr>
          <w:rStyle w:val="a5"/>
        </w:rPr>
        <w:footnoteRef/>
      </w:r>
      <w:r>
        <w:rPr>
          <w:rtl/>
        </w:rPr>
        <w:t xml:space="preserve"> </w:t>
      </w:r>
      <w:r>
        <w:rPr>
          <w:rFonts w:hint="cs"/>
          <w:rtl/>
        </w:rPr>
        <w:t>ס"ח התשס"א, עמ' 410.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51837lsCopyOriginal.docx"/>
    <w:docVar w:name="StartMode" w:val="2"/>
  </w:docVars>
  <w:rsids>
    <w:rsidRoot w:val="00DB7060"/>
    <w:rsid w:val="00015B27"/>
    <w:rsid w:val="000A542E"/>
    <w:rsid w:val="000D3269"/>
    <w:rsid w:val="00112A8E"/>
    <w:rsid w:val="001207F8"/>
    <w:rsid w:val="00121924"/>
    <w:rsid w:val="001279A8"/>
    <w:rsid w:val="0014195F"/>
    <w:rsid w:val="00152609"/>
    <w:rsid w:val="00153E1B"/>
    <w:rsid w:val="001A0623"/>
    <w:rsid w:val="001C23B0"/>
    <w:rsid w:val="001E2A2D"/>
    <w:rsid w:val="00203A7F"/>
    <w:rsid w:val="002200A1"/>
    <w:rsid w:val="002362BF"/>
    <w:rsid w:val="00237B6F"/>
    <w:rsid w:val="00241B97"/>
    <w:rsid w:val="00254605"/>
    <w:rsid w:val="00267860"/>
    <w:rsid w:val="002728B4"/>
    <w:rsid w:val="00285B8C"/>
    <w:rsid w:val="00292712"/>
    <w:rsid w:val="002C2E29"/>
    <w:rsid w:val="003232A2"/>
    <w:rsid w:val="003710F6"/>
    <w:rsid w:val="00386E88"/>
    <w:rsid w:val="0039033C"/>
    <w:rsid w:val="003D74A0"/>
    <w:rsid w:val="004033D8"/>
    <w:rsid w:val="004D3876"/>
    <w:rsid w:val="004E4552"/>
    <w:rsid w:val="00511D49"/>
    <w:rsid w:val="0054498E"/>
    <w:rsid w:val="00553C9D"/>
    <w:rsid w:val="005B064E"/>
    <w:rsid w:val="005D51AE"/>
    <w:rsid w:val="00644940"/>
    <w:rsid w:val="006818A9"/>
    <w:rsid w:val="006C1D0D"/>
    <w:rsid w:val="006D201A"/>
    <w:rsid w:val="0070601E"/>
    <w:rsid w:val="00765F66"/>
    <w:rsid w:val="00793A2D"/>
    <w:rsid w:val="007D5A12"/>
    <w:rsid w:val="007E59F9"/>
    <w:rsid w:val="00810BCD"/>
    <w:rsid w:val="00812C98"/>
    <w:rsid w:val="00814D92"/>
    <w:rsid w:val="00892135"/>
    <w:rsid w:val="00895449"/>
    <w:rsid w:val="00897879"/>
    <w:rsid w:val="008C2DDC"/>
    <w:rsid w:val="008F0D63"/>
    <w:rsid w:val="008F2C35"/>
    <w:rsid w:val="0091204F"/>
    <w:rsid w:val="009203DB"/>
    <w:rsid w:val="00943386"/>
    <w:rsid w:val="00957589"/>
    <w:rsid w:val="00982412"/>
    <w:rsid w:val="00A1519D"/>
    <w:rsid w:val="00A26BD6"/>
    <w:rsid w:val="00A82CB7"/>
    <w:rsid w:val="00AC36F7"/>
    <w:rsid w:val="00B35784"/>
    <w:rsid w:val="00BC45FB"/>
    <w:rsid w:val="00C9176A"/>
    <w:rsid w:val="00CC1585"/>
    <w:rsid w:val="00D2672E"/>
    <w:rsid w:val="00D745AC"/>
    <w:rsid w:val="00D867D7"/>
    <w:rsid w:val="00DB7060"/>
    <w:rsid w:val="00DC663F"/>
    <w:rsid w:val="00DE3153"/>
    <w:rsid w:val="00E13C27"/>
    <w:rsid w:val="00E303D2"/>
    <w:rsid w:val="00E33BBD"/>
    <w:rsid w:val="00E422FD"/>
    <w:rsid w:val="00E45103"/>
    <w:rsid w:val="00E665B9"/>
    <w:rsid w:val="00EA01E6"/>
    <w:rsid w:val="00EA758F"/>
    <w:rsid w:val="00ED4A6F"/>
    <w:rsid w:val="00EF3A3A"/>
    <w:rsid w:val="00F2476F"/>
    <w:rsid w:val="00F50645"/>
    <w:rsid w:val="00FA1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semiHidden/>
    <w:rsid w:val="00943386"/>
    <w:pPr>
      <w:ind w:left="227" w:hanging="227"/>
    </w:pPr>
    <w:rPr>
      <w:sz w:val="14"/>
      <w:szCs w:val="22"/>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rsid w:val="00943386"/>
    <w:pPr>
      <w:jc w:val="both"/>
    </w:pPr>
  </w:style>
  <w:style w:type="paragraph" w:styleId="a4">
    <w:name w:val="footnote text"/>
    <w:basedOn w:val="Ragil"/>
    <w:autoRedefine/>
    <w:semiHidden/>
    <w:rsid w:val="00943386"/>
    <w:pPr>
      <w:spacing w:line="240" w:lineRule="auto"/>
      <w:ind w:left="227" w:hanging="227"/>
    </w:pPr>
    <w:rPr>
      <w:sz w:val="14"/>
      <w:szCs w:val="20"/>
    </w:rPr>
  </w:style>
  <w:style w:type="character" w:styleId="a5">
    <w:name w:val="footnote reference"/>
    <w:aliases w:val="Footnote Reference"/>
    <w:semiHidden/>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rsid w:val="00943386"/>
    <w:pPr>
      <w:tabs>
        <w:tab w:val="left" w:pos="680"/>
        <w:tab w:val="left" w:pos="1020"/>
      </w:tabs>
      <w:ind w:firstLine="0"/>
    </w:pPr>
  </w:style>
  <w:style w:type="character" w:styleId="a6">
    <w:name w:val="endnote reference"/>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7">
    <w:name w:val="header"/>
    <w:basedOn w:val="a"/>
    <w:rsid w:val="00943386"/>
    <w:pPr>
      <w:tabs>
        <w:tab w:val="center" w:pos="4153"/>
        <w:tab w:val="right" w:pos="8306"/>
      </w:tabs>
    </w:pPr>
  </w:style>
  <w:style w:type="paragraph" w:styleId="a8">
    <w:name w:val="footer"/>
    <w:basedOn w:val="a"/>
    <w:rsid w:val="00943386"/>
    <w:pPr>
      <w:tabs>
        <w:tab w:val="center" w:pos="4153"/>
        <w:tab w:val="right" w:pos="8306"/>
      </w:tabs>
    </w:pPr>
  </w:style>
  <w:style w:type="paragraph" w:customStyle="1" w:styleId="HeadDivreiHesber">
    <w:name w:val="Head DivreiHesber"/>
    <w:basedOn w:val="Ragil"/>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1207F8"/>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54498E"/>
    <w:pPr>
      <w:spacing w:before="0" w:line="240" w:lineRule="auto"/>
    </w:pPr>
    <w:rPr>
      <w:rFonts w:ascii="Tahoma" w:hAnsi="Tahoma" w:cs="Tahoma"/>
      <w:sz w:val="16"/>
      <w:szCs w:val="16"/>
    </w:rPr>
  </w:style>
  <w:style w:type="character" w:customStyle="1" w:styleId="ac">
    <w:name w:val="טקסט בלונים תו"/>
    <w:basedOn w:val="a0"/>
    <w:link w:val="ab"/>
    <w:semiHidden/>
    <w:rsid w:val="0054498E"/>
    <w:rPr>
      <w:rFonts w:ascii="Tahoma" w:hAnsi="Tahoma" w:cs="Tahoma"/>
      <w:color w:val="000000"/>
      <w:spacing w:val="1"/>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semiHidden/>
    <w:rsid w:val="00943386"/>
    <w:pPr>
      <w:ind w:left="227" w:hanging="227"/>
    </w:pPr>
    <w:rPr>
      <w:sz w:val="14"/>
      <w:szCs w:val="22"/>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rsid w:val="00943386"/>
    <w:pPr>
      <w:jc w:val="both"/>
    </w:pPr>
  </w:style>
  <w:style w:type="paragraph" w:styleId="a4">
    <w:name w:val="footnote text"/>
    <w:basedOn w:val="Ragil"/>
    <w:autoRedefine/>
    <w:semiHidden/>
    <w:rsid w:val="00943386"/>
    <w:pPr>
      <w:spacing w:line="240" w:lineRule="auto"/>
      <w:ind w:left="227" w:hanging="227"/>
    </w:pPr>
    <w:rPr>
      <w:sz w:val="14"/>
      <w:szCs w:val="20"/>
    </w:rPr>
  </w:style>
  <w:style w:type="character" w:styleId="a5">
    <w:name w:val="footnote reference"/>
    <w:aliases w:val="Footnote Reference"/>
    <w:semiHidden/>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rsid w:val="00943386"/>
    <w:pPr>
      <w:tabs>
        <w:tab w:val="left" w:pos="680"/>
        <w:tab w:val="left" w:pos="1020"/>
      </w:tabs>
      <w:ind w:firstLine="0"/>
    </w:pPr>
  </w:style>
  <w:style w:type="character" w:styleId="a6">
    <w:name w:val="endnote reference"/>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7">
    <w:name w:val="header"/>
    <w:basedOn w:val="a"/>
    <w:rsid w:val="00943386"/>
    <w:pPr>
      <w:tabs>
        <w:tab w:val="center" w:pos="4153"/>
        <w:tab w:val="right" w:pos="8306"/>
      </w:tabs>
    </w:pPr>
  </w:style>
  <w:style w:type="paragraph" w:styleId="a8">
    <w:name w:val="footer"/>
    <w:basedOn w:val="a"/>
    <w:rsid w:val="00943386"/>
    <w:pPr>
      <w:tabs>
        <w:tab w:val="center" w:pos="4153"/>
        <w:tab w:val="right" w:pos="8306"/>
      </w:tabs>
    </w:pPr>
  </w:style>
  <w:style w:type="paragraph" w:customStyle="1" w:styleId="HeadDivreiHesber">
    <w:name w:val="Head DivreiHesber"/>
    <w:basedOn w:val="Ragil"/>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1207F8"/>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54498E"/>
    <w:pPr>
      <w:spacing w:before="0" w:line="240" w:lineRule="auto"/>
    </w:pPr>
    <w:rPr>
      <w:rFonts w:ascii="Tahoma" w:hAnsi="Tahoma" w:cs="Tahoma"/>
      <w:sz w:val="16"/>
      <w:szCs w:val="16"/>
    </w:rPr>
  </w:style>
  <w:style w:type="character" w:customStyle="1" w:styleId="ac">
    <w:name w:val="טקסט בלונים תו"/>
    <w:basedOn w:val="a0"/>
    <w:link w:val="ab"/>
    <w:semiHidden/>
    <w:rsid w:val="0054498E"/>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5112">
      <w:bodyDiv w:val="1"/>
      <w:marLeft w:val="0"/>
      <w:marRight w:val="0"/>
      <w:marTop w:val="0"/>
      <w:marBottom w:val="0"/>
      <w:divBdr>
        <w:top w:val="none" w:sz="0" w:space="0" w:color="auto"/>
        <w:left w:val="none" w:sz="0" w:space="0" w:color="auto"/>
        <w:bottom w:val="none" w:sz="0" w:space="0" w:color="auto"/>
        <w:right w:val="none" w:sz="0" w:space="0" w:color="auto"/>
      </w:divBdr>
    </w:div>
    <w:div w:id="1552230989">
      <w:bodyDiv w:val="1"/>
      <w:marLeft w:val="0"/>
      <w:marRight w:val="0"/>
      <w:marTop w:val="0"/>
      <w:marBottom w:val="0"/>
      <w:divBdr>
        <w:top w:val="none" w:sz="0" w:space="0" w:color="auto"/>
        <w:left w:val="none" w:sz="0" w:space="0" w:color="auto"/>
        <w:bottom w:val="none" w:sz="0" w:space="0" w:color="auto"/>
        <w:right w:val="none" w:sz="0" w:space="0" w:color="auto"/>
      </w:divBdr>
    </w:div>
    <w:div w:id="19697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DDE91A37-9C36-4064-AF63-73589F7C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4960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שרית מזוז</dc:creator>
  <cp:lastModifiedBy>שוש אזולאי</cp:lastModifiedBy>
  <cp:revision>2</cp:revision>
  <cp:lastPrinted>2014-09-23T09:34:00Z</cp:lastPrinted>
  <dcterms:created xsi:type="dcterms:W3CDTF">2014-09-23T09:36:00Z</dcterms:created>
  <dcterms:modified xsi:type="dcterms:W3CDTF">2014-09-23T09:36:00Z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