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86" w:rsidRPr="005C12E4" w:rsidRDefault="00606086" w:rsidP="00606086">
      <w:pPr>
        <w:pStyle w:val="HeadHatzaotHok"/>
        <w:jc w:val="right"/>
        <w:rPr>
          <w:b w:val="0"/>
          <w:bCs w:val="0"/>
          <w:szCs w:val="20"/>
        </w:rPr>
      </w:pPr>
      <w:r w:rsidRPr="005C12E4">
        <w:rPr>
          <w:rFonts w:hint="cs"/>
          <w:b w:val="0"/>
          <w:bCs w:val="0"/>
          <w:szCs w:val="20"/>
          <w:rtl/>
        </w:rPr>
        <w:t xml:space="preserve">מספר פנימי: </w:t>
      </w:r>
      <w:bookmarkStart w:id="0" w:name="ItemID"/>
      <w:r w:rsidRPr="005C12E4">
        <w:rPr>
          <w:rFonts w:hint="cs"/>
          <w:b w:val="0"/>
          <w:bCs w:val="0"/>
          <w:szCs w:val="20"/>
          <w:rtl/>
        </w:rPr>
        <w:t>543284</w:t>
      </w:r>
      <w:bookmarkEnd w:id="0"/>
    </w:p>
    <w:p w:rsidR="00606086" w:rsidRDefault="00606086" w:rsidP="00606086">
      <w:pPr>
        <w:pStyle w:val="HeadHatzaotHok"/>
        <w:rPr>
          <w:sz w:val="28"/>
          <w:szCs w:val="28"/>
        </w:rPr>
      </w:pPr>
      <w:r>
        <w:rPr>
          <w:rFonts w:hint="cs"/>
          <w:sz w:val="28"/>
          <w:szCs w:val="28"/>
          <w:rtl/>
        </w:rPr>
        <w:t xml:space="preserve">הכנסת </w:t>
      </w:r>
      <w:bookmarkStart w:id="1" w:name="KnessetNum"/>
      <w:r>
        <w:rPr>
          <w:rFonts w:hint="cs"/>
          <w:sz w:val="28"/>
          <w:szCs w:val="28"/>
          <w:rtl/>
        </w:rPr>
        <w:t>התשע-עשרה</w:t>
      </w:r>
      <w:bookmarkEnd w:id="1"/>
    </w:p>
    <w:p w:rsidR="00606086" w:rsidRDefault="00606086" w:rsidP="00606086">
      <w:pPr>
        <w:rPr>
          <w:rFonts w:cs="David"/>
          <w:sz w:val="26"/>
          <w:szCs w:val="26"/>
          <w:rtl/>
        </w:rPr>
      </w:pPr>
    </w:p>
    <w:p w:rsidR="00606086" w:rsidRDefault="00606086" w:rsidP="00606086">
      <w:pPr>
        <w:pStyle w:val="David"/>
        <w:ind w:left="2880" w:firstLine="663"/>
        <w:rPr>
          <w:b/>
          <w:bCs/>
          <w:rtl/>
        </w:rPr>
      </w:pPr>
      <w:bookmarkStart w:id="2" w:name="MKsSingleOrMulti"/>
      <w:r>
        <w:rPr>
          <w:rFonts w:hint="cs"/>
          <w:b/>
          <w:bCs/>
          <w:rtl/>
        </w:rPr>
        <w:t>יוזמת:           חברת הכנסת</w:t>
      </w:r>
      <w:bookmarkEnd w:id="2"/>
      <w:r>
        <w:rPr>
          <w:b/>
          <w:bCs/>
        </w:rPr>
        <w:tab/>
      </w:r>
      <w:bookmarkStart w:id="3" w:name="MKs"/>
      <w:r>
        <w:rPr>
          <w:rFonts w:hint="cs"/>
          <w:b/>
          <w:bCs/>
          <w:rtl/>
        </w:rPr>
        <w:t>עדי קול</w:t>
      </w:r>
      <w:bookmarkEnd w:id="3"/>
    </w:p>
    <w:p w:rsidR="00606086" w:rsidRDefault="005C12E4" w:rsidP="00606086">
      <w:pPr>
        <w:ind w:firstLine="3543"/>
        <w:rPr>
          <w:rFonts w:cs="David"/>
          <w:sz w:val="26"/>
          <w:szCs w:val="26"/>
          <w:rtl/>
        </w:rPr>
      </w:pPr>
      <w:r>
        <w:rPr>
          <w:rFonts w:hint="cs"/>
          <w:noProof/>
          <w:rtl/>
          <w:lang w:eastAsia="en-US"/>
        </w:rPr>
        <mc:AlternateContent>
          <mc:Choice Requires="wps">
            <w:drawing>
              <wp:anchor distT="0" distB="0" distL="114300" distR="114300" simplePos="0" relativeHeight="251660288" behindDoc="0" locked="0" layoutInCell="1" allowOverlap="1" wp14:anchorId="7C9F3F6E" wp14:editId="04514F48">
                <wp:simplePos x="0" y="0"/>
                <wp:positionH relativeFrom="column">
                  <wp:posOffset>1270</wp:posOffset>
                </wp:positionH>
                <wp:positionV relativeFrom="paragraph">
                  <wp:posOffset>182245</wp:posOffset>
                </wp:positionV>
                <wp:extent cx="3879215" cy="17145"/>
                <wp:effectExtent l="0" t="0" r="26035" b="20955"/>
                <wp:wrapNone/>
                <wp:docPr id="1" name="צורה חופשית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צורה חופשית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15.7pt,305.55pt,14.3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" filled="f">
                <v:path arrowok="t" o:connecttype="custom" o:connectlocs="0,17145;3879215,0" o:connectangles="0,0"/>
              </v:polyline>
            </w:pict>
          </mc:Fallback>
        </mc:AlternateContent>
      </w:r>
      <w:r w:rsidR="00606086">
        <w:rPr>
          <w:rFonts w:hint="cs"/>
          <w:noProof/>
          <w:rtl/>
          <w:lang w:eastAsia="en-US"/>
        </w:rPr>
        <mc:AlternateContent>
          <mc:Choice Requires="wps">
            <w:drawing>
              <wp:anchor distT="0" distB="0" distL="114300" distR="114300" simplePos="0" relativeHeight="251659264" behindDoc="0" locked="0" layoutInCell="1" allowOverlap="1" wp14:anchorId="30510708" wp14:editId="2F878252">
                <wp:simplePos x="0" y="0"/>
                <wp:positionH relativeFrom="column">
                  <wp:posOffset>1270</wp:posOffset>
                </wp:positionH>
                <wp:positionV relativeFrom="paragraph">
                  <wp:posOffset>48895</wp:posOffset>
                </wp:positionV>
                <wp:extent cx="3869690" cy="15875"/>
                <wp:effectExtent l="0" t="38100" r="0" b="41275"/>
                <wp:wrapNone/>
                <wp:docPr id="2" name="צורה חופשית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צורה חופשית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" filled="f" stroked="f">
                <v:path arrowok="t" o:connecttype="custom" o:connectlocs="0,15875;3869690,0" o:connectangles="0,0"/>
              </v:polyline>
            </w:pict>
          </mc:Fallback>
        </mc:AlternateContent>
      </w:r>
      <w:bookmarkStart w:id="4" w:name="MKsSingleOrMulti1"/>
      <w:bookmarkEnd w:id="4"/>
      <w:r w:rsidR="00606086">
        <w:rPr>
          <w:rFonts w:cs="David" w:hint="cs"/>
          <w:sz w:val="26"/>
          <w:szCs w:val="26"/>
          <w:rtl/>
        </w:rPr>
        <w:tab/>
      </w:r>
      <w:bookmarkStart w:id="5" w:name="MKs1"/>
      <w:bookmarkEnd w:id="5"/>
    </w:p>
    <w:p w:rsidR="005C12E4" w:rsidRDefault="005C12E4" w:rsidP="005C12E4">
      <w:pPr>
        <w:spacing w:before="0"/>
        <w:ind w:left="2919" w:firstLine="720"/>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t>פ/1983/19</w:t>
      </w:r>
    </w:p>
    <w:p w:rsidR="005C12E4" w:rsidRDefault="005C12E4" w:rsidP="00606086">
      <w:pPr>
        <w:spacing w:before="0"/>
        <w:ind w:left="2919" w:firstLine="720"/>
        <w:rPr>
          <w:rFonts w:cs="David"/>
          <w:sz w:val="26"/>
          <w:szCs w:val="26"/>
          <w:rtl/>
        </w:rPr>
      </w:pPr>
    </w:p>
    <w:p w:rsidR="005C12E4" w:rsidRDefault="005C12E4" w:rsidP="005C12E4">
      <w:pPr>
        <w:pStyle w:val="HeadHatzaotHok"/>
        <w:tabs>
          <w:tab w:val="left" w:pos="4071"/>
          <w:tab w:val="center" w:pos="4819"/>
        </w:tabs>
        <w:spacing w:before="0"/>
        <w:rPr>
          <w:sz w:val="26"/>
          <w:rtl/>
        </w:rPr>
      </w:pPr>
      <w:bookmarkStart w:id="6" w:name="Title"/>
    </w:p>
    <w:p w:rsidR="00606086" w:rsidRDefault="0087541F" w:rsidP="005C12E4">
      <w:pPr>
        <w:pStyle w:val="HeadHatzaotHok"/>
        <w:tabs>
          <w:tab w:val="left" w:pos="4071"/>
          <w:tab w:val="center" w:pos="4819"/>
        </w:tabs>
        <w:spacing w:before="0"/>
        <w:rPr>
          <w:sz w:val="26"/>
          <w:rtl/>
        </w:rPr>
      </w:pPr>
      <w:r w:rsidRPr="0087541F">
        <w:rPr>
          <w:sz w:val="26"/>
          <w:rtl/>
        </w:rPr>
        <w:t xml:space="preserve">הצעת חוק השמות (תיקון </w:t>
      </w:r>
      <w:r w:rsidR="005C12E4">
        <w:rPr>
          <w:rFonts w:hint="cs"/>
          <w:sz w:val="26"/>
          <w:rtl/>
        </w:rPr>
        <w:t>–</w:t>
      </w:r>
      <w:r w:rsidRPr="0087541F">
        <w:rPr>
          <w:sz w:val="26"/>
          <w:rtl/>
        </w:rPr>
        <w:t xml:space="preserve"> שינוי שמו של קטין), התשע"ד</w:t>
      </w:r>
      <w:r w:rsidR="005C12E4">
        <w:rPr>
          <w:rFonts w:hint="cs"/>
          <w:sz w:val="26"/>
          <w:rtl/>
        </w:rPr>
        <w:t>–</w:t>
      </w:r>
      <w:r w:rsidRPr="0087541F">
        <w:rPr>
          <w:sz w:val="26"/>
          <w:rtl/>
        </w:rPr>
        <w:t>2013</w:t>
      </w:r>
      <w:bookmarkEnd w:id="6"/>
    </w:p>
    <w:p w:rsidR="005C12E4" w:rsidRDefault="005C12E4" w:rsidP="005C12E4">
      <w:pPr>
        <w:pStyle w:val="HeadHatzaotHok"/>
        <w:tabs>
          <w:tab w:val="left" w:pos="4071"/>
          <w:tab w:val="center" w:pos="4819"/>
        </w:tabs>
        <w:spacing w:before="0"/>
        <w:rPr>
          <w:sz w:val="26"/>
          <w:rtl/>
        </w:rPr>
      </w:pPr>
    </w:p>
    <w:tbl>
      <w:tblPr>
        <w:bidiVisual/>
        <w:tblW w:w="9645" w:type="dxa"/>
        <w:tblInd w:w="1" w:type="dxa"/>
        <w:tblLayout w:type="fixed"/>
        <w:tblCellMar>
          <w:top w:w="57" w:type="dxa"/>
          <w:left w:w="0" w:type="dxa"/>
          <w:bottom w:w="57" w:type="dxa"/>
          <w:right w:w="0" w:type="dxa"/>
        </w:tblCellMar>
        <w:tblLook w:val="04A0" w:firstRow="1" w:lastRow="0" w:firstColumn="1" w:lastColumn="0" w:noHBand="0" w:noVBand="1"/>
      </w:tblPr>
      <w:tblGrid>
        <w:gridCol w:w="1873"/>
        <w:gridCol w:w="624"/>
        <w:gridCol w:w="7148"/>
      </w:tblGrid>
      <w:tr w:rsidR="00606086" w:rsidTr="004E09F0">
        <w:trPr>
          <w:cantSplit/>
        </w:trPr>
        <w:tc>
          <w:tcPr>
            <w:tcW w:w="1873" w:type="dxa"/>
            <w:hideMark/>
          </w:tcPr>
          <w:p w:rsidR="00606086" w:rsidRDefault="00606086" w:rsidP="004E09F0">
            <w:pPr>
              <w:pStyle w:val="TableSideHeading"/>
              <w:bidi w:val="0"/>
              <w:spacing w:line="240" w:lineRule="auto"/>
              <w:ind w:right="0"/>
              <w:jc w:val="right"/>
              <w:rPr>
                <w:sz w:val="26"/>
              </w:rPr>
            </w:pPr>
            <w:r>
              <w:rPr>
                <w:rFonts w:hint="cs"/>
                <w:sz w:val="26"/>
                <w:rtl/>
              </w:rPr>
              <w:t xml:space="preserve">תיקון סעיף 4 </w:t>
            </w:r>
            <w:r>
              <w:rPr>
                <w:rFonts w:hint="cs"/>
                <w:sz w:val="26"/>
              </w:rPr>
              <w:t xml:space="preserve"> </w:t>
            </w:r>
          </w:p>
        </w:tc>
        <w:tc>
          <w:tcPr>
            <w:tcW w:w="624" w:type="dxa"/>
            <w:hideMark/>
          </w:tcPr>
          <w:p w:rsidR="00606086" w:rsidRDefault="00606086" w:rsidP="004E09F0">
            <w:pPr>
              <w:pStyle w:val="TableText"/>
              <w:rPr>
                <w:sz w:val="26"/>
              </w:rPr>
            </w:pPr>
            <w:r>
              <w:rPr>
                <w:rFonts w:hint="cs"/>
                <w:sz w:val="26"/>
                <w:rtl/>
              </w:rPr>
              <w:t>1.</w:t>
            </w:r>
          </w:p>
        </w:tc>
        <w:tc>
          <w:tcPr>
            <w:tcW w:w="7148" w:type="dxa"/>
            <w:hideMark/>
          </w:tcPr>
          <w:p w:rsidR="00606086" w:rsidRDefault="00606086" w:rsidP="00606086">
            <w:pPr>
              <w:pStyle w:val="TableBlock"/>
            </w:pPr>
            <w:r>
              <w:rPr>
                <w:rFonts w:hint="cs"/>
                <w:sz w:val="26"/>
                <w:rtl/>
              </w:rPr>
              <w:t>בחוק השמות, התשט"ז–1956</w:t>
            </w:r>
            <w:r>
              <w:rPr>
                <w:rStyle w:val="a6"/>
                <w:sz w:val="26"/>
                <w:rtl/>
              </w:rPr>
              <w:footnoteReference w:id="2"/>
            </w:r>
            <w:r>
              <w:rPr>
                <w:rFonts w:hint="cs"/>
                <w:sz w:val="26"/>
                <w:rtl/>
              </w:rPr>
              <w:t>, (</w:t>
            </w:r>
            <w:r w:rsidR="005C12E4">
              <w:rPr>
                <w:rFonts w:hint="cs"/>
                <w:sz w:val="26"/>
                <w:rtl/>
              </w:rPr>
              <w:t>להלן – החוק העיקרי) בסעיף 4, הסיפה</w:t>
            </w:r>
            <w:r>
              <w:rPr>
                <w:rFonts w:hint="cs"/>
                <w:sz w:val="26"/>
                <w:rtl/>
              </w:rPr>
              <w:t xml:space="preserve"> החל במילים "באין הסכמה בין ההורים" </w:t>
            </w:r>
            <w:r w:rsidR="005C12E4">
              <w:rPr>
                <w:rFonts w:hint="cs"/>
                <w:sz w:val="26"/>
                <w:rtl/>
              </w:rPr>
              <w:t>ועד המילים "על ידי אמו בלבד" – ת</w:t>
            </w:r>
            <w:r>
              <w:rPr>
                <w:rFonts w:hint="cs"/>
                <w:sz w:val="26"/>
                <w:rtl/>
              </w:rPr>
              <w:t>ימחק.</w:t>
            </w:r>
          </w:p>
        </w:tc>
      </w:tr>
      <w:tr w:rsidR="00606086" w:rsidTr="004E09F0">
        <w:trPr>
          <w:cantSplit/>
        </w:trPr>
        <w:tc>
          <w:tcPr>
            <w:tcW w:w="1873" w:type="dxa"/>
            <w:hideMark/>
          </w:tcPr>
          <w:p w:rsidR="00606086" w:rsidRDefault="00606086" w:rsidP="004E09F0">
            <w:pPr>
              <w:pStyle w:val="TableSideHeading"/>
              <w:bidi w:val="0"/>
              <w:spacing w:line="240" w:lineRule="auto"/>
              <w:ind w:right="0"/>
              <w:jc w:val="right"/>
              <w:rPr>
                <w:sz w:val="26"/>
              </w:rPr>
            </w:pPr>
            <w:r>
              <w:rPr>
                <w:rFonts w:hint="cs"/>
                <w:sz w:val="26"/>
                <w:rtl/>
              </w:rPr>
              <w:t>תיקון סעיף 10</w:t>
            </w:r>
          </w:p>
        </w:tc>
        <w:tc>
          <w:tcPr>
            <w:tcW w:w="624" w:type="dxa"/>
            <w:hideMark/>
          </w:tcPr>
          <w:p w:rsidR="00606086" w:rsidRDefault="005C12E4" w:rsidP="004E09F0">
            <w:pPr>
              <w:pStyle w:val="TableText"/>
              <w:rPr>
                <w:sz w:val="26"/>
              </w:rPr>
            </w:pPr>
            <w:r>
              <w:rPr>
                <w:rFonts w:hint="cs"/>
                <w:sz w:val="26"/>
                <w:rtl/>
              </w:rPr>
              <w:t>2.</w:t>
            </w:r>
          </w:p>
        </w:tc>
        <w:tc>
          <w:tcPr>
            <w:tcW w:w="7148" w:type="dxa"/>
            <w:hideMark/>
          </w:tcPr>
          <w:p w:rsidR="00606086" w:rsidRDefault="00606086" w:rsidP="00606086">
            <w:pPr>
              <w:pStyle w:val="TableBlock"/>
              <w:rPr>
                <w:sz w:val="26"/>
              </w:rPr>
            </w:pPr>
            <w:r>
              <w:rPr>
                <w:rFonts w:hint="cs"/>
                <w:sz w:val="26"/>
                <w:rtl/>
              </w:rPr>
              <w:t xml:space="preserve">בסעיף 10 לחוק העיקרי </w:t>
            </w:r>
            <w:r>
              <w:rPr>
                <w:rFonts w:hint="eastAsia"/>
                <w:sz w:val="26"/>
                <w:rtl/>
              </w:rPr>
              <w:t xml:space="preserve">– </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tl/>
              </w:rPr>
            </w:pPr>
          </w:p>
        </w:tc>
        <w:tc>
          <w:tcPr>
            <w:tcW w:w="624" w:type="dxa"/>
          </w:tcPr>
          <w:p w:rsidR="00606086" w:rsidRDefault="00606086" w:rsidP="00606086">
            <w:pPr>
              <w:pStyle w:val="TableText"/>
              <w:rPr>
                <w:rtl/>
              </w:rPr>
            </w:pPr>
          </w:p>
        </w:tc>
        <w:tc>
          <w:tcPr>
            <w:tcW w:w="7148" w:type="dxa"/>
          </w:tcPr>
          <w:p w:rsidR="00606086" w:rsidRDefault="00606086" w:rsidP="00606086">
            <w:pPr>
              <w:pStyle w:val="TableBlock"/>
              <w:rPr>
                <w:sz w:val="26"/>
                <w:rtl/>
              </w:rPr>
            </w:pPr>
            <w:r>
              <w:rPr>
                <w:rFonts w:hint="cs"/>
                <w:sz w:val="26"/>
                <w:rtl/>
              </w:rPr>
              <w:t>(1)</w:t>
            </w:r>
            <w:r>
              <w:rPr>
                <w:sz w:val="26"/>
                <w:rtl/>
              </w:rPr>
              <w:tab/>
            </w:r>
            <w:r>
              <w:rPr>
                <w:rFonts w:hint="cs"/>
                <w:sz w:val="26"/>
                <w:rtl/>
              </w:rPr>
              <w:t>בכותרת השוליים, אחרי "בגיר" יבוא "וקטין שמל</w:t>
            </w:r>
            <w:bookmarkStart w:id="7" w:name="_GoBack"/>
            <w:bookmarkEnd w:id="7"/>
            <w:r>
              <w:rPr>
                <w:rFonts w:hint="cs"/>
                <w:sz w:val="26"/>
                <w:rtl/>
              </w:rPr>
              <w:t>או לו 13 שנים"</w:t>
            </w:r>
            <w:r w:rsidR="005C12E4">
              <w:rPr>
                <w:rFonts w:hint="cs"/>
                <w:sz w:val="26"/>
                <w:rtl/>
              </w:rPr>
              <w:t>;</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tl/>
              </w:rPr>
            </w:pPr>
          </w:p>
        </w:tc>
        <w:tc>
          <w:tcPr>
            <w:tcW w:w="624" w:type="dxa"/>
          </w:tcPr>
          <w:p w:rsidR="00606086" w:rsidRDefault="00606086" w:rsidP="00606086">
            <w:pPr>
              <w:pStyle w:val="TableText"/>
              <w:rPr>
                <w:rtl/>
              </w:rPr>
            </w:pPr>
          </w:p>
        </w:tc>
        <w:tc>
          <w:tcPr>
            <w:tcW w:w="7148" w:type="dxa"/>
          </w:tcPr>
          <w:p w:rsidR="00606086" w:rsidRDefault="00606086" w:rsidP="004E09F0">
            <w:pPr>
              <w:pStyle w:val="TableBlock"/>
              <w:rPr>
                <w:sz w:val="26"/>
                <w:rtl/>
              </w:rPr>
            </w:pPr>
            <w:r>
              <w:rPr>
                <w:rFonts w:hint="cs"/>
                <w:sz w:val="26"/>
                <w:rtl/>
              </w:rPr>
              <w:t>(2)</w:t>
            </w:r>
            <w:r>
              <w:rPr>
                <w:sz w:val="26"/>
                <w:rtl/>
              </w:rPr>
              <w:tab/>
            </w:r>
            <w:r>
              <w:rPr>
                <w:rFonts w:hint="cs"/>
                <w:sz w:val="26"/>
                <w:rtl/>
              </w:rPr>
              <w:t>אחרי "בגיר" יבוא "וקטין שמלאו לו 13 שנים".</w:t>
            </w:r>
          </w:p>
        </w:tc>
      </w:tr>
      <w:tr w:rsidR="00606086" w:rsidTr="004E09F0">
        <w:trPr>
          <w:cantSplit/>
        </w:trPr>
        <w:tc>
          <w:tcPr>
            <w:tcW w:w="1873" w:type="dxa"/>
            <w:hideMark/>
          </w:tcPr>
          <w:p w:rsidR="00606086" w:rsidRDefault="00606086" w:rsidP="004E09F0">
            <w:pPr>
              <w:pStyle w:val="TableSideHeading"/>
              <w:bidi w:val="0"/>
              <w:spacing w:line="240" w:lineRule="auto"/>
              <w:ind w:right="0"/>
              <w:jc w:val="right"/>
              <w:rPr>
                <w:sz w:val="26"/>
              </w:rPr>
            </w:pPr>
            <w:r>
              <w:rPr>
                <w:rFonts w:hint="cs"/>
                <w:sz w:val="26"/>
                <w:rtl/>
              </w:rPr>
              <w:t>תיקון סעיף 13</w:t>
            </w:r>
          </w:p>
        </w:tc>
        <w:tc>
          <w:tcPr>
            <w:tcW w:w="624" w:type="dxa"/>
            <w:hideMark/>
          </w:tcPr>
          <w:p w:rsidR="00606086" w:rsidRDefault="00606086" w:rsidP="004E09F0">
            <w:pPr>
              <w:pStyle w:val="TableText"/>
              <w:rPr>
                <w:sz w:val="26"/>
              </w:rPr>
            </w:pPr>
            <w:r>
              <w:rPr>
                <w:rFonts w:hint="cs"/>
                <w:sz w:val="26"/>
                <w:rtl/>
              </w:rPr>
              <w:t>3.</w:t>
            </w:r>
          </w:p>
        </w:tc>
        <w:tc>
          <w:tcPr>
            <w:tcW w:w="7148" w:type="dxa"/>
            <w:hideMark/>
          </w:tcPr>
          <w:p w:rsidR="00606086" w:rsidRDefault="00606086" w:rsidP="004E09F0">
            <w:pPr>
              <w:pStyle w:val="TableBlock"/>
              <w:rPr>
                <w:sz w:val="26"/>
              </w:rPr>
            </w:pPr>
            <w:r>
              <w:rPr>
                <w:rFonts w:hint="cs"/>
                <w:sz w:val="26"/>
                <w:rtl/>
              </w:rPr>
              <w:t xml:space="preserve">בסעיף 13 לחוק העיקרי –  </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Pr>
            </w:pPr>
          </w:p>
        </w:tc>
        <w:tc>
          <w:tcPr>
            <w:tcW w:w="624" w:type="dxa"/>
          </w:tcPr>
          <w:p w:rsidR="00606086" w:rsidRDefault="00606086" w:rsidP="004E09F0">
            <w:pPr>
              <w:pStyle w:val="TableText"/>
            </w:pPr>
          </w:p>
        </w:tc>
        <w:tc>
          <w:tcPr>
            <w:tcW w:w="7148" w:type="dxa"/>
            <w:hideMark/>
          </w:tcPr>
          <w:p w:rsidR="00606086" w:rsidRDefault="00606086" w:rsidP="004E09F0">
            <w:pPr>
              <w:pStyle w:val="TableBlock"/>
              <w:rPr>
                <w:sz w:val="26"/>
              </w:rPr>
            </w:pPr>
            <w:r>
              <w:rPr>
                <w:rFonts w:hint="cs"/>
                <w:sz w:val="26"/>
                <w:rtl/>
              </w:rPr>
              <w:t>(1)</w:t>
            </w:r>
            <w:r>
              <w:rPr>
                <w:rFonts w:hint="cs"/>
                <w:sz w:val="26"/>
                <w:rtl/>
              </w:rPr>
              <w:tab/>
              <w:t>אחרי "קטין" יבוא "שטרם מלאו לו 13 שנים";</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Pr>
            </w:pPr>
          </w:p>
        </w:tc>
        <w:tc>
          <w:tcPr>
            <w:tcW w:w="624" w:type="dxa"/>
          </w:tcPr>
          <w:p w:rsidR="00606086" w:rsidRDefault="00606086" w:rsidP="004E09F0">
            <w:pPr>
              <w:pStyle w:val="TableText"/>
            </w:pPr>
          </w:p>
        </w:tc>
        <w:tc>
          <w:tcPr>
            <w:tcW w:w="7148" w:type="dxa"/>
            <w:hideMark/>
          </w:tcPr>
          <w:p w:rsidR="00606086" w:rsidRDefault="00606086" w:rsidP="004E09F0">
            <w:pPr>
              <w:pStyle w:val="TableBlock"/>
              <w:rPr>
                <w:sz w:val="26"/>
                <w:rtl/>
              </w:rPr>
            </w:pPr>
            <w:r>
              <w:rPr>
                <w:rFonts w:hint="cs"/>
                <w:sz w:val="26"/>
                <w:rtl/>
              </w:rPr>
              <w:t>(2)</w:t>
            </w:r>
            <w:r>
              <w:rPr>
                <w:rFonts w:hint="cs"/>
                <w:sz w:val="26"/>
                <w:rtl/>
              </w:rPr>
              <w:tab/>
              <w:t xml:space="preserve">אחרי "שם משפחתו" יבוא "ואולם, בית המשפט לא ייתן החלטה כאמור, אלא לאחר שניתנה לקטין המסוגל לחוות דעה משלו הזדמנות נאותה להביע את דעתו בעניין; לדעתו של הקטין יינתן משקל ראוי בהתאם לגילו ולמידת בגרותו";  </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tl/>
              </w:rPr>
            </w:pPr>
            <w:r>
              <w:rPr>
                <w:rFonts w:hint="cs"/>
                <w:sz w:val="26"/>
                <w:rtl/>
              </w:rPr>
              <w:t>תיקון סעיף 14</w:t>
            </w:r>
          </w:p>
        </w:tc>
        <w:tc>
          <w:tcPr>
            <w:tcW w:w="624" w:type="dxa"/>
          </w:tcPr>
          <w:p w:rsidR="00606086" w:rsidRDefault="00606086" w:rsidP="004E09F0">
            <w:pPr>
              <w:pStyle w:val="TableText"/>
            </w:pPr>
            <w:r>
              <w:rPr>
                <w:rFonts w:hint="cs"/>
                <w:rtl/>
              </w:rPr>
              <w:t>4.</w:t>
            </w:r>
          </w:p>
        </w:tc>
        <w:tc>
          <w:tcPr>
            <w:tcW w:w="7148" w:type="dxa"/>
          </w:tcPr>
          <w:p w:rsidR="00606086" w:rsidRDefault="00606086" w:rsidP="004E09F0">
            <w:pPr>
              <w:pStyle w:val="TableBlock"/>
              <w:rPr>
                <w:sz w:val="26"/>
              </w:rPr>
            </w:pPr>
            <w:r>
              <w:rPr>
                <w:rFonts w:hint="cs"/>
                <w:sz w:val="26"/>
                <w:rtl/>
              </w:rPr>
              <w:t>בסעיף 14 לחוק העיקרי –</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Pr>
            </w:pPr>
          </w:p>
        </w:tc>
        <w:tc>
          <w:tcPr>
            <w:tcW w:w="624" w:type="dxa"/>
          </w:tcPr>
          <w:p w:rsidR="00606086" w:rsidRDefault="00606086" w:rsidP="004E09F0">
            <w:pPr>
              <w:pStyle w:val="TableText"/>
              <w:rPr>
                <w:sz w:val="26"/>
              </w:rPr>
            </w:pPr>
          </w:p>
        </w:tc>
        <w:tc>
          <w:tcPr>
            <w:tcW w:w="7148" w:type="dxa"/>
          </w:tcPr>
          <w:p w:rsidR="00606086" w:rsidRDefault="00606086" w:rsidP="004E09F0">
            <w:pPr>
              <w:pStyle w:val="TableBlock"/>
              <w:rPr>
                <w:sz w:val="26"/>
              </w:rPr>
            </w:pPr>
            <w:r>
              <w:rPr>
                <w:rFonts w:hint="cs"/>
                <w:sz w:val="26"/>
                <w:rtl/>
              </w:rPr>
              <w:t>(1)</w:t>
            </w:r>
            <w:r>
              <w:rPr>
                <w:sz w:val="26"/>
                <w:rtl/>
              </w:rPr>
              <w:tab/>
            </w:r>
            <w:r>
              <w:rPr>
                <w:rFonts w:hint="cs"/>
                <w:sz w:val="26"/>
                <w:rtl/>
              </w:rPr>
              <w:t>אחרי "קטין" יבוא "שט</w:t>
            </w:r>
            <w:r w:rsidR="005C12E4">
              <w:rPr>
                <w:rFonts w:hint="cs"/>
                <w:sz w:val="26"/>
                <w:rtl/>
              </w:rPr>
              <w:t>ר</w:t>
            </w:r>
            <w:r>
              <w:rPr>
                <w:rFonts w:hint="cs"/>
                <w:sz w:val="26"/>
                <w:rtl/>
              </w:rPr>
              <w:t>ם מלאו לו 13 שנים";</w:t>
            </w:r>
          </w:p>
        </w:tc>
      </w:tr>
      <w:tr w:rsidR="00606086" w:rsidTr="004E09F0">
        <w:trPr>
          <w:cantSplit/>
        </w:trPr>
        <w:tc>
          <w:tcPr>
            <w:tcW w:w="1873" w:type="dxa"/>
          </w:tcPr>
          <w:p w:rsidR="00606086" w:rsidRDefault="00606086" w:rsidP="004E09F0">
            <w:pPr>
              <w:pStyle w:val="TableSideHeading"/>
              <w:bidi w:val="0"/>
              <w:spacing w:line="240" w:lineRule="auto"/>
              <w:ind w:right="0"/>
              <w:jc w:val="right"/>
              <w:rPr>
                <w:sz w:val="26"/>
              </w:rPr>
            </w:pPr>
          </w:p>
        </w:tc>
        <w:tc>
          <w:tcPr>
            <w:tcW w:w="624" w:type="dxa"/>
          </w:tcPr>
          <w:p w:rsidR="00606086" w:rsidRDefault="00606086" w:rsidP="004E09F0">
            <w:pPr>
              <w:pStyle w:val="TableText"/>
            </w:pPr>
          </w:p>
        </w:tc>
        <w:tc>
          <w:tcPr>
            <w:tcW w:w="7148" w:type="dxa"/>
          </w:tcPr>
          <w:p w:rsidR="00606086" w:rsidRPr="00042659" w:rsidRDefault="00606086" w:rsidP="004E09F0">
            <w:pPr>
              <w:pStyle w:val="TableBlock"/>
              <w:rPr>
                <w:sz w:val="26"/>
                <w:rtl/>
              </w:rPr>
            </w:pPr>
            <w:r>
              <w:rPr>
                <w:rFonts w:hint="cs"/>
                <w:sz w:val="26"/>
                <w:rtl/>
              </w:rPr>
              <w:t>(2)</w:t>
            </w:r>
            <w:r>
              <w:rPr>
                <w:sz w:val="26"/>
                <w:rtl/>
              </w:rPr>
              <w:tab/>
            </w:r>
            <w:r>
              <w:rPr>
                <w:rFonts w:hint="cs"/>
                <w:sz w:val="26"/>
                <w:rtl/>
              </w:rPr>
              <w:t>אחרי "שם משפחתו" יבוא "ואולם, בית המשפט לא ייתן החלטה כאמור, אלא לאחר שניתנה לקטין המסוגל לחוות דעה משלו הזדמנות נאותה להביע את דעתו בעניין; לדעתו של הקטין יינתן משקל רא</w:t>
            </w:r>
            <w:r w:rsidR="005C12E4">
              <w:rPr>
                <w:rFonts w:hint="cs"/>
                <w:sz w:val="26"/>
                <w:rtl/>
              </w:rPr>
              <w:t>וי בהתאם לגילו ולמידת בגרותו".</w:t>
            </w:r>
          </w:p>
        </w:tc>
      </w:tr>
    </w:tbl>
    <w:p w:rsidR="00606086" w:rsidRDefault="00606086" w:rsidP="00606086">
      <w:pPr>
        <w:pStyle w:val="HeadDivreiHesber"/>
        <w:spacing w:before="0" w:after="0"/>
        <w:rPr>
          <w:rtl/>
        </w:rPr>
      </w:pPr>
    </w:p>
    <w:p w:rsidR="005C12E4" w:rsidRDefault="005C12E4" w:rsidP="00606086">
      <w:pPr>
        <w:pStyle w:val="HeadDivreiHesber"/>
        <w:spacing w:before="0" w:after="0"/>
        <w:rPr>
          <w:rtl/>
        </w:rPr>
      </w:pPr>
    </w:p>
    <w:p w:rsidR="005C12E4" w:rsidRDefault="005C12E4" w:rsidP="00606086">
      <w:pPr>
        <w:pStyle w:val="HeadDivreiHesber"/>
        <w:spacing w:before="0" w:after="0"/>
        <w:rPr>
          <w:rtl/>
        </w:rPr>
      </w:pPr>
    </w:p>
    <w:p w:rsidR="005C12E4" w:rsidRDefault="005C12E4" w:rsidP="00606086">
      <w:pPr>
        <w:pStyle w:val="HeadDivreiHesber"/>
        <w:spacing w:before="0" w:after="0"/>
        <w:rPr>
          <w:rtl/>
        </w:rPr>
      </w:pPr>
    </w:p>
    <w:p w:rsidR="00606086" w:rsidRDefault="00606086" w:rsidP="00606086">
      <w:pPr>
        <w:pStyle w:val="HeadDivreiHesber"/>
        <w:spacing w:before="0" w:after="0"/>
        <w:rPr>
          <w:rtl/>
        </w:rPr>
      </w:pPr>
      <w:r>
        <w:rPr>
          <w:rFonts w:hint="cs"/>
          <w:rtl/>
        </w:rPr>
        <w:lastRenderedPageBreak/>
        <w:t>דברי הסבר</w:t>
      </w:r>
    </w:p>
    <w:p w:rsidR="00606086" w:rsidRDefault="00606086" w:rsidP="00606086">
      <w:pPr>
        <w:pStyle w:val="Hesber"/>
        <w:rPr>
          <w:sz w:val="26"/>
          <w:rtl/>
        </w:rPr>
      </w:pPr>
      <w:r>
        <w:rPr>
          <w:rFonts w:hint="cs"/>
          <w:sz w:val="26"/>
          <w:rtl/>
        </w:rPr>
        <w:t>חוק השמות, התשט"ז–1956, מסדיר את קביעת השם של קטינים מתחת לגיל 18. שמו של אדם מהווה חלק מזהותו, ומכאן כל שינוי בו הוא בעל השלכה משמעותית על זהותו ועל חייו. נושא זה עלה לדיון בוועדה לבחינת עקרונות יסוד בתחום הילד והמשפט ויישומה בחקיקה, בראשות השופטת סביונה רוטלווי, ומ</w:t>
      </w:r>
      <w:r w:rsidR="005C12E4">
        <w:rPr>
          <w:rFonts w:hint="cs"/>
          <w:sz w:val="26"/>
          <w:rtl/>
        </w:rPr>
        <w:t>וצע ליישם חלק מהחלטותיה בהצעת חוק זו</w:t>
      </w:r>
      <w:r>
        <w:rPr>
          <w:rFonts w:hint="cs"/>
          <w:sz w:val="26"/>
          <w:rtl/>
        </w:rPr>
        <w:t>.</w:t>
      </w:r>
    </w:p>
    <w:p w:rsidR="00606086" w:rsidRDefault="00606086" w:rsidP="005C12E4">
      <w:pPr>
        <w:pStyle w:val="Hesber"/>
        <w:rPr>
          <w:sz w:val="26"/>
          <w:rtl/>
        </w:rPr>
      </w:pPr>
      <w:r>
        <w:rPr>
          <w:rFonts w:hint="cs"/>
          <w:sz w:val="26"/>
          <w:rtl/>
        </w:rPr>
        <w:t xml:space="preserve">מוצע לבטל את ההוראה לפיה ילד שנולד יוכל לקבל שמות </w:t>
      </w:r>
      <w:r w:rsidR="005C12E4">
        <w:rPr>
          <w:rFonts w:hint="cs"/>
          <w:sz w:val="26"/>
          <w:rtl/>
        </w:rPr>
        <w:t>שונים</w:t>
      </w:r>
      <w:r>
        <w:rPr>
          <w:rFonts w:hint="cs"/>
          <w:sz w:val="26"/>
          <w:rtl/>
        </w:rPr>
        <w:t xml:space="preserve"> משני הוריו, דבר שללא ספק יפגע בזהותו של הקטין. כמו כן, חוק השמות לא מעניק לילדים כל מעמד או ז</w:t>
      </w:r>
      <w:r w:rsidR="005C12E4">
        <w:rPr>
          <w:rFonts w:hint="cs"/>
          <w:sz w:val="26"/>
          <w:rtl/>
        </w:rPr>
        <w:t xml:space="preserve">כות להשמיע את טענותיהם לעניין  </w:t>
      </w:r>
      <w:r>
        <w:rPr>
          <w:rFonts w:hint="cs"/>
          <w:sz w:val="26"/>
          <w:rtl/>
        </w:rPr>
        <w:t xml:space="preserve">שינוי שמם, וזאת בכל גיל שהוא. לכן, מוצע לקבוע כי קטין מעל גיל 13 יוכל לשנות את שמו הפרטי ללא צורך בהסכמת הוריו. כמו כן, מוצע לקבוע כי בית המשפט המוסמך לשנות את שם משפחתו של הקטין יהיה חייב להביא במניין השיקולים שהוא שוקל גם את עמדתו של הקטין, ככל שהוא מסוגל לחוות דעה משלו, לעניין שינוי שם משפחתו. </w:t>
      </w: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5C12E4" w:rsidRPr="005C12E4" w:rsidRDefault="005C12E4" w:rsidP="005C12E4">
      <w:pPr>
        <w:pStyle w:val="Hesber"/>
        <w:rPr>
          <w:sz w:val="26"/>
          <w:rtl/>
        </w:rPr>
      </w:pPr>
      <w:r w:rsidRPr="005C12E4">
        <w:rPr>
          <w:sz w:val="26"/>
          <w:rtl/>
        </w:rPr>
        <w:t>---------------------------------</w:t>
      </w:r>
    </w:p>
    <w:p w:rsidR="005C12E4" w:rsidRPr="005C12E4" w:rsidRDefault="005C12E4" w:rsidP="005C12E4">
      <w:pPr>
        <w:pStyle w:val="Hesber"/>
        <w:rPr>
          <w:sz w:val="26"/>
          <w:rtl/>
        </w:rPr>
      </w:pPr>
      <w:r w:rsidRPr="005C12E4">
        <w:rPr>
          <w:sz w:val="26"/>
          <w:rtl/>
        </w:rPr>
        <w:t>הוגשה ליו"ר הכנסת והסגנים</w:t>
      </w:r>
    </w:p>
    <w:p w:rsidR="005C12E4" w:rsidRPr="005C12E4" w:rsidRDefault="005C12E4" w:rsidP="005C12E4">
      <w:pPr>
        <w:pStyle w:val="Hesber"/>
        <w:rPr>
          <w:sz w:val="26"/>
          <w:rtl/>
        </w:rPr>
      </w:pPr>
      <w:r w:rsidRPr="005C12E4">
        <w:rPr>
          <w:sz w:val="26"/>
          <w:rtl/>
        </w:rPr>
        <w:t>והונחה על שולחן הכנסת ביום</w:t>
      </w:r>
    </w:p>
    <w:p w:rsidR="005C12E4" w:rsidRPr="005C12E4" w:rsidRDefault="005C12E4" w:rsidP="005C12E4">
      <w:pPr>
        <w:pStyle w:val="Hesber"/>
        <w:rPr>
          <w:sz w:val="26"/>
          <w:rtl/>
        </w:rPr>
      </w:pPr>
      <w:r w:rsidRPr="005C12E4">
        <w:rPr>
          <w:sz w:val="26"/>
          <w:rtl/>
        </w:rPr>
        <w:t>כ' בטבת התשע"ד – 23.12.13</w:t>
      </w: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5C12E4" w:rsidRDefault="005C12E4" w:rsidP="005C12E4">
      <w:pPr>
        <w:pStyle w:val="Hesber"/>
        <w:rPr>
          <w:sz w:val="26"/>
          <w:rtl/>
        </w:rPr>
      </w:pPr>
    </w:p>
    <w:p w:rsidR="00606086" w:rsidRDefault="00606086" w:rsidP="00606086">
      <w:pPr>
        <w:pStyle w:val="Hesber"/>
        <w:rPr>
          <w:sz w:val="26"/>
          <w:rtl/>
        </w:rPr>
      </w:pPr>
    </w:p>
    <w:p w:rsidR="00606086" w:rsidRDefault="00606086" w:rsidP="00606086">
      <w:pPr>
        <w:pStyle w:val="HeadDivreiHesber"/>
        <w:spacing w:before="0" w:after="0"/>
        <w:rPr>
          <w:rtl/>
        </w:rPr>
      </w:pPr>
    </w:p>
    <w:p w:rsidR="00606086" w:rsidRDefault="00606086" w:rsidP="00606086">
      <w:pPr>
        <w:pStyle w:val="Hesber"/>
        <w:rPr>
          <w:rtl/>
        </w:rPr>
      </w:pPr>
    </w:p>
    <w:p w:rsidR="00606086" w:rsidRDefault="00606086" w:rsidP="00606086"/>
    <w:p w:rsidR="00E13C27" w:rsidRPr="00606086" w:rsidRDefault="00E13C27" w:rsidP="00606086">
      <w:pPr>
        <w:rPr>
          <w:rtl/>
        </w:rPr>
      </w:pPr>
    </w:p>
    <w:sectPr w:rsidR="00E13C27" w:rsidRPr="00606086"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BC" w:rsidRDefault="00B91CBC">
      <w:r>
        <w:separator/>
      </w:r>
    </w:p>
  </w:endnote>
  <w:endnote w:type="continuationSeparator" w:id="0">
    <w:p w:rsidR="00B91CBC" w:rsidRDefault="00B9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D0215D">
      <w:rPr>
        <w:rStyle w:val="ab"/>
        <w:noProof/>
        <w:rtl/>
      </w:rPr>
      <w:t>2</w:t>
    </w:r>
    <w:r>
      <w:rPr>
        <w:rStyle w:val="ab"/>
        <w:rtl/>
      </w:rPr>
      <w:fldChar w:fldCharType="end"/>
    </w:r>
  </w:p>
  <w:p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BC" w:rsidRDefault="00B91CBC">
      <w:r>
        <w:separator/>
      </w:r>
    </w:p>
  </w:footnote>
  <w:footnote w:type="continuationSeparator" w:id="0">
    <w:p w:rsidR="00B91CBC" w:rsidRDefault="00B91CBC">
      <w:r>
        <w:continuationSeparator/>
      </w:r>
    </w:p>
  </w:footnote>
  <w:footnote w:type="continuationNotice" w:id="1">
    <w:p w:rsidR="00B91CBC" w:rsidRDefault="00B91CBC"/>
  </w:footnote>
  <w:footnote w:id="2">
    <w:p w:rsidR="00606086" w:rsidRDefault="00606086" w:rsidP="00606086">
      <w:pPr>
        <w:pStyle w:val="a4"/>
        <w:rPr>
          <w:rtl/>
        </w:rPr>
      </w:pPr>
      <w:r>
        <w:rPr>
          <w:rStyle w:val="a6"/>
        </w:rPr>
        <w:footnoteRef/>
      </w:r>
      <w:r>
        <w:rPr>
          <w:rFonts w:hint="cs"/>
          <w:sz w:val="20"/>
          <w:rtl/>
        </w:rPr>
        <w:t xml:space="preserve"> ס"ח התשט"ז, עמ'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43284lsCopyOriginal.docx"/>
    <w:docVar w:name="StartMode" w:val="2"/>
  </w:docVars>
  <w:rsids>
    <w:rsidRoot w:val="00DB7060"/>
    <w:rsid w:val="00015B27"/>
    <w:rsid w:val="000A542E"/>
    <w:rsid w:val="001207F8"/>
    <w:rsid w:val="00121924"/>
    <w:rsid w:val="001279A8"/>
    <w:rsid w:val="0014195F"/>
    <w:rsid w:val="00152609"/>
    <w:rsid w:val="00153E1B"/>
    <w:rsid w:val="001A0623"/>
    <w:rsid w:val="001C23B0"/>
    <w:rsid w:val="00203A7F"/>
    <w:rsid w:val="002200A1"/>
    <w:rsid w:val="002362BF"/>
    <w:rsid w:val="00241B97"/>
    <w:rsid w:val="00254605"/>
    <w:rsid w:val="002728B4"/>
    <w:rsid w:val="00292712"/>
    <w:rsid w:val="002C2E29"/>
    <w:rsid w:val="003232A2"/>
    <w:rsid w:val="003710F6"/>
    <w:rsid w:val="00386E88"/>
    <w:rsid w:val="003C758F"/>
    <w:rsid w:val="003D74A0"/>
    <w:rsid w:val="004033D8"/>
    <w:rsid w:val="004D3876"/>
    <w:rsid w:val="004E4552"/>
    <w:rsid w:val="00553C9D"/>
    <w:rsid w:val="005B064E"/>
    <w:rsid w:val="005C12E4"/>
    <w:rsid w:val="005D51AE"/>
    <w:rsid w:val="00606086"/>
    <w:rsid w:val="00644940"/>
    <w:rsid w:val="006818A9"/>
    <w:rsid w:val="006C1D0D"/>
    <w:rsid w:val="0070601E"/>
    <w:rsid w:val="00765F66"/>
    <w:rsid w:val="007D5A12"/>
    <w:rsid w:val="007E59F9"/>
    <w:rsid w:val="007F204D"/>
    <w:rsid w:val="00810BCD"/>
    <w:rsid w:val="00812C98"/>
    <w:rsid w:val="00814D92"/>
    <w:rsid w:val="0087541F"/>
    <w:rsid w:val="00892135"/>
    <w:rsid w:val="00895449"/>
    <w:rsid w:val="00897879"/>
    <w:rsid w:val="008C2DDC"/>
    <w:rsid w:val="008F0D63"/>
    <w:rsid w:val="008F2C35"/>
    <w:rsid w:val="0091204F"/>
    <w:rsid w:val="009203DB"/>
    <w:rsid w:val="00943386"/>
    <w:rsid w:val="00943BCC"/>
    <w:rsid w:val="00951A4C"/>
    <w:rsid w:val="00957589"/>
    <w:rsid w:val="00982412"/>
    <w:rsid w:val="00A26BD6"/>
    <w:rsid w:val="00A321DF"/>
    <w:rsid w:val="00A658C1"/>
    <w:rsid w:val="00A82CB7"/>
    <w:rsid w:val="00AC36F7"/>
    <w:rsid w:val="00B35784"/>
    <w:rsid w:val="00B91CBC"/>
    <w:rsid w:val="00BC2F4C"/>
    <w:rsid w:val="00BC45FB"/>
    <w:rsid w:val="00C9176A"/>
    <w:rsid w:val="00D0215D"/>
    <w:rsid w:val="00D867D7"/>
    <w:rsid w:val="00DB7060"/>
    <w:rsid w:val="00DE3153"/>
    <w:rsid w:val="00DF38A3"/>
    <w:rsid w:val="00E020EA"/>
    <w:rsid w:val="00E13C27"/>
    <w:rsid w:val="00E33BBD"/>
    <w:rsid w:val="00E45103"/>
    <w:rsid w:val="00E665B9"/>
    <w:rsid w:val="00EA01E6"/>
    <w:rsid w:val="00EA758F"/>
    <w:rsid w:val="00ED4A6F"/>
    <w:rsid w:val="00EF3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uiPriority w:val="99"/>
    <w:rsid w:val="00943386"/>
    <w:pPr>
      <w:jc w:val="both"/>
    </w:pPr>
  </w:style>
  <w:style w:type="paragraph" w:styleId="a4">
    <w:name w:val="footnote text"/>
    <w:basedOn w:val="Ragil"/>
    <w:link w:val="a5"/>
    <w:autoRedefine/>
    <w:uiPriority w:val="99"/>
    <w:rsid w:val="00943386"/>
    <w:pPr>
      <w:spacing w:line="240" w:lineRule="auto"/>
      <w:ind w:left="227" w:hanging="227"/>
    </w:pPr>
    <w:rPr>
      <w:sz w:val="14"/>
      <w:szCs w:val="20"/>
    </w:rPr>
  </w:style>
  <w:style w:type="character" w:styleId="a6">
    <w:name w:val="footnote reference"/>
    <w:uiPriority w:val="99"/>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basedOn w:val="a0"/>
    <w:link w:val="a4"/>
    <w:uiPriority w:val="99"/>
    <w:rsid w:val="003C758F"/>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F8"/>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rsid w:val="00943386"/>
    <w:pPr>
      <w:tabs>
        <w:tab w:val="left" w:pos="1191"/>
        <w:tab w:val="left" w:pos="1587"/>
      </w:tabs>
      <w:spacing w:before="240" w:after="240" w:line="480" w:lineRule="auto"/>
      <w:jc w:val="center"/>
    </w:pPr>
  </w:style>
  <w:style w:type="paragraph" w:customStyle="1" w:styleId="Cover2-HatzaotHok">
    <w:name w:val="Cover 2-HatzaotHok"/>
    <w:basedOn w:val="Cover1-Reshumot"/>
    <w:rsid w:val="00943386"/>
    <w:rPr>
      <w:sz w:val="36"/>
      <w:szCs w:val="52"/>
    </w:rPr>
  </w:style>
  <w:style w:type="paragraph" w:customStyle="1" w:styleId="Cover3-Haknesset">
    <w:name w:val="Cover 3-Haknesset"/>
    <w:basedOn w:val="Cover1-Reshumot"/>
    <w:rsid w:val="00943386"/>
    <w:rPr>
      <w:b/>
      <w:bCs/>
      <w:spacing w:val="60"/>
    </w:rPr>
  </w:style>
  <w:style w:type="paragraph" w:customStyle="1" w:styleId="Cover4-Date">
    <w:name w:val="Cover 4-Date"/>
    <w:basedOn w:val="Noparagraphstyle"/>
    <w:rsid w:val="00943386"/>
    <w:pPr>
      <w:pBdr>
        <w:bottom w:val="single" w:sz="4" w:space="0" w:color="auto"/>
      </w:pBdr>
      <w:tabs>
        <w:tab w:val="center" w:pos="4820"/>
        <w:tab w:val="right" w:pos="9639"/>
      </w:tabs>
      <w:spacing w:before="240" w:after="240"/>
    </w:p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paragraphstyle"/>
    <w:rsid w:val="00943386"/>
    <w:pPr>
      <w:keepNext/>
      <w:keepLines/>
      <w:pageBreakBefore/>
      <w:spacing w:before="480"/>
      <w:jc w:val="both"/>
    </w:pPr>
    <w:rPr>
      <w:b/>
      <w:bCs/>
    </w:rPr>
  </w:style>
  <w:style w:type="paragraph" w:customStyle="1" w:styleId="HeadHatzaotHok">
    <w:name w:val="Head HatzaotHok"/>
    <w:basedOn w:val="Noparagraphstyle"/>
    <w:rsid w:val="00943386"/>
    <w:pPr>
      <w:keepNext/>
      <w:keepLines/>
      <w:spacing w:before="240"/>
      <w:jc w:val="center"/>
    </w:pPr>
    <w:rPr>
      <w:b/>
      <w:bCs/>
    </w:rPr>
  </w:style>
  <w:style w:type="paragraph" w:customStyle="1" w:styleId="HeadHatzaotHok4Futer">
    <w:name w:val="Head HatzaotHok4Futer"/>
    <w:basedOn w:val="HeadHatzaotHok"/>
    <w:rsid w:val="00943386"/>
    <w:pPr>
      <w:spacing w:before="120" w:after="120"/>
    </w:pPr>
    <w:rPr>
      <w:color w:val="FF0000"/>
      <w:w w:val="80"/>
    </w:rPr>
  </w:style>
  <w:style w:type="paragraph" w:styleId="a3">
    <w:name w:val="endnote text"/>
    <w:basedOn w:val="Ragil"/>
    <w:semiHidden/>
    <w:rsid w:val="00943386"/>
    <w:pPr>
      <w:ind w:left="227" w:hanging="227"/>
    </w:pPr>
    <w:rPr>
      <w:sz w:val="14"/>
      <w:szCs w:val="22"/>
    </w:rPr>
  </w:style>
  <w:style w:type="paragraph" w:customStyle="1" w:styleId="TableText">
    <w:name w:val="Table Text"/>
    <w:basedOn w:val="Ragil"/>
    <w:rsid w:val="00943386"/>
    <w:pPr>
      <w:keepLines/>
      <w:tabs>
        <w:tab w:val="left" w:pos="624"/>
        <w:tab w:val="left" w:pos="1247"/>
      </w:tabs>
      <w:ind w:right="57" w:firstLine="0"/>
    </w:pPr>
  </w:style>
  <w:style w:type="paragraph" w:customStyle="1" w:styleId="TableSideHeading">
    <w:name w:val="Table SideHeading"/>
    <w:basedOn w:val="TableText"/>
    <w:rsid w:val="00943386"/>
  </w:style>
  <w:style w:type="paragraph" w:customStyle="1" w:styleId="TableBlock">
    <w:name w:val="Table Block"/>
    <w:basedOn w:val="TableText"/>
    <w:rsid w:val="00943386"/>
    <w:pPr>
      <w:ind w:right="0"/>
      <w:jc w:val="both"/>
    </w:pPr>
  </w:style>
  <w:style w:type="paragraph" w:customStyle="1" w:styleId="TableHead">
    <w:name w:val="Table Head"/>
    <w:basedOn w:val="TableText"/>
    <w:rsid w:val="0094338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43386"/>
  </w:style>
  <w:style w:type="paragraph" w:customStyle="1" w:styleId="Hesber">
    <w:name w:val="Hesber"/>
    <w:basedOn w:val="Ragil"/>
    <w:uiPriority w:val="99"/>
    <w:rsid w:val="00943386"/>
    <w:pPr>
      <w:jc w:val="both"/>
    </w:pPr>
  </w:style>
  <w:style w:type="paragraph" w:styleId="a4">
    <w:name w:val="footnote text"/>
    <w:basedOn w:val="Ragil"/>
    <w:link w:val="a5"/>
    <w:autoRedefine/>
    <w:uiPriority w:val="99"/>
    <w:rsid w:val="00943386"/>
    <w:pPr>
      <w:spacing w:line="240" w:lineRule="auto"/>
      <w:ind w:left="227" w:hanging="227"/>
    </w:pPr>
    <w:rPr>
      <w:sz w:val="14"/>
      <w:szCs w:val="20"/>
    </w:rPr>
  </w:style>
  <w:style w:type="character" w:styleId="a6">
    <w:name w:val="footnote reference"/>
    <w:uiPriority w:val="99"/>
    <w:rsid w:val="00943386"/>
    <w:rPr>
      <w:vertAlign w:val="superscript"/>
    </w:rPr>
  </w:style>
  <w:style w:type="paragraph" w:customStyle="1" w:styleId="HesberHeading">
    <w:name w:val="Hesber Heading"/>
    <w:basedOn w:val="Hesber"/>
    <w:rsid w:val="00943386"/>
    <w:pPr>
      <w:keepNext/>
      <w:keepLines/>
      <w:spacing w:before="240"/>
      <w:ind w:firstLine="0"/>
    </w:pPr>
    <w:rPr>
      <w:b/>
      <w:bCs/>
    </w:rPr>
  </w:style>
  <w:style w:type="paragraph" w:customStyle="1" w:styleId="HesberWriters">
    <w:name w:val="Hesber Writers"/>
    <w:basedOn w:val="Hesber"/>
    <w:rsid w:val="00943386"/>
    <w:pPr>
      <w:spacing w:before="120" w:after="6000"/>
      <w:ind w:left="1418" w:firstLine="0"/>
      <w:jc w:val="right"/>
    </w:pPr>
    <w:rPr>
      <w:b/>
      <w:bCs/>
    </w:rPr>
  </w:style>
  <w:style w:type="paragraph" w:customStyle="1" w:styleId="Hesber1st">
    <w:name w:val="Hesber 1st"/>
    <w:basedOn w:val="Hesber"/>
    <w:rsid w:val="00943386"/>
    <w:pPr>
      <w:tabs>
        <w:tab w:val="left" w:pos="680"/>
        <w:tab w:val="left" w:pos="1020"/>
      </w:tabs>
      <w:ind w:firstLine="0"/>
    </w:pPr>
  </w:style>
  <w:style w:type="character" w:styleId="a7">
    <w:name w:val="endnote reference"/>
    <w:semiHidden/>
    <w:rsid w:val="00943386"/>
    <w:rPr>
      <w:vertAlign w:val="superscript"/>
    </w:rPr>
  </w:style>
  <w:style w:type="paragraph" w:customStyle="1" w:styleId="TableBlockOutdent">
    <w:name w:val="Table BlockOutdent"/>
    <w:basedOn w:val="TableBlock"/>
    <w:rsid w:val="00943386"/>
    <w:pPr>
      <w:ind w:left="624" w:hanging="624"/>
    </w:pPr>
  </w:style>
  <w:style w:type="paragraph" w:styleId="a8">
    <w:name w:val="header"/>
    <w:basedOn w:val="a"/>
    <w:rsid w:val="00943386"/>
    <w:pPr>
      <w:tabs>
        <w:tab w:val="center" w:pos="4153"/>
        <w:tab w:val="right" w:pos="8306"/>
      </w:tabs>
    </w:pPr>
  </w:style>
  <w:style w:type="paragraph" w:styleId="a9">
    <w:name w:val="footer"/>
    <w:basedOn w:val="a"/>
    <w:rsid w:val="00943386"/>
    <w:pPr>
      <w:tabs>
        <w:tab w:val="center" w:pos="4153"/>
        <w:tab w:val="right" w:pos="8306"/>
      </w:tabs>
    </w:pPr>
  </w:style>
  <w:style w:type="paragraph" w:customStyle="1" w:styleId="HeadDivreiHesber">
    <w:name w:val="Head DivreiHesber"/>
    <w:basedOn w:val="Ragil"/>
    <w:rsid w:val="00943386"/>
    <w:pPr>
      <w:spacing w:before="360" w:after="120"/>
      <w:ind w:firstLine="0"/>
      <w:jc w:val="center"/>
    </w:pPr>
    <w:rPr>
      <w:b/>
      <w:spacing w:val="40"/>
    </w:rPr>
  </w:style>
  <w:style w:type="paragraph" w:customStyle="1" w:styleId="Ragil">
    <w:name w:val="Ragil"/>
    <w:basedOn w:val="Noparagraphstyle"/>
    <w:rsid w:val="00943386"/>
    <w:pPr>
      <w:ind w:firstLine="340"/>
    </w:p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1207F8"/>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character" w:customStyle="1" w:styleId="a5">
    <w:name w:val="טקסט הערת שוליים תו"/>
    <w:basedOn w:val="a0"/>
    <w:link w:val="a4"/>
    <w:uiPriority w:val="99"/>
    <w:rsid w:val="003C758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29557-0C40-4358-9559-C3F9A724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1654</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רעות יהודה</dc:creator>
  <cp:lastModifiedBy>שוש אזולאי</cp:lastModifiedBy>
  <cp:revision>2</cp:revision>
  <cp:lastPrinted>2013-12-18T10:48:00Z</cp:lastPrinted>
  <dcterms:created xsi:type="dcterms:W3CDTF">2014-06-11T10:03:00Z</dcterms:created>
  <dcterms:modified xsi:type="dcterms:W3CDTF">2014-06-11T10:03:00Z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