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Pr="0000131B" w:rsidRDefault="004033D8" w:rsidP="00A443CF">
      <w:pPr>
        <w:pStyle w:val="HeadHatzaotHok"/>
        <w:jc w:val="right"/>
        <w:rPr>
          <w:b w:val="0"/>
          <w:bCs w:val="0"/>
          <w:szCs w:val="20"/>
        </w:rPr>
      </w:pPr>
      <w:r w:rsidRPr="0000131B">
        <w:rPr>
          <w:rFonts w:hint="cs"/>
          <w:b w:val="0"/>
          <w:bCs w:val="0"/>
          <w:szCs w:val="20"/>
          <w:rtl/>
        </w:rPr>
        <w:t xml:space="preserve">מספר פנימי: </w:t>
      </w:r>
      <w:bookmarkStart w:id="0" w:name="LGS_Internal_ID"/>
      <w:r>
        <w:rPr>
          <w:rFonts w:hint="cs"/>
          <w:b w:val="0"/>
          <w:bCs w:val="0"/>
          <w:szCs w:val="20"/>
          <w:rtl/>
        </w:rPr>
        <w:t>569011</w:t>
      </w:r>
      <w:bookmarkEnd w:id="0"/>
    </w:p>
    <w:p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</w:t>
      </w:r>
      <w:bookmarkEnd w:id="1"/>
    </w:p>
    <w:p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יוזמים:      חברי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נחמן שי</w:t>
      </w:r>
      <w:r>
        <w:br/>
      </w:r>
      <w:r>
        <w:rPr>
          <w:rFonts w:hint="cs"/>
          <w:b/>
          <w:bCs/>
          <w:rtl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rFonts w:hint="cs"/>
          <w:b/>
          <w:bCs/>
          <w:rtl/>
        </w:rPr>
        <w:t>יוסי יונה</w:t>
      </w:r>
      <w:bookmarkEnd w:id="3"/>
    </w:p>
    <w:p w:rsidR="00E13C27" w:rsidRPr="00CF1AA2" w:rsidRDefault="007D585A" w:rsidP="0036422C">
      <w:pPr>
        <w:pStyle w:val="David"/>
        <w:spacing w:before="0" w:line="360" w:lineRule="auto"/>
        <w:ind w:left="3544"/>
        <w:rPr>
          <w:b/>
          <w:bCs/>
          <w:sz w:val="16"/>
          <w:szCs w:val="16"/>
          <w:rtl/>
        </w:rPr>
      </w:pPr>
      <w:bookmarkStart w:id="4" w:name="LGS_Join_List"/>
      <w:r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5" w:name="LGS_PM_NamesJoin"/>
      <w:r>
        <w:rPr>
          <w:rFonts w:hint="cs"/>
          <w:rtl/>
        </w:rPr>
        <w:t xml:space="preserve"> </w:t>
      </w:r>
      <w:bookmarkEnd w:id="5"/>
    </w:p>
    <w:p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6" w:name="Private_Number"/>
      <w:r>
        <w:rPr>
          <w:rFonts w:hint="cs"/>
          <w:rtl/>
        </w:rPr>
        <w:t>פ/2137/20</w:t>
      </w:r>
      <w:bookmarkEnd w:id="6"/>
    </w:p>
    <w:p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:rsidR="00E13C27" w:rsidRPr="00F67051" w:rsidRDefault="00A443CF" w:rsidP="00D850B3">
      <w:pPr>
        <w:pStyle w:val="HeadHatzaotHok"/>
        <w:rPr>
          <w:rtl/>
        </w:rPr>
      </w:pPr>
      <w:bookmarkStart w:id="7" w:name="LGS_Subject"/>
      <w:r>
        <w:rPr>
          <w:rFonts w:hint="cs"/>
          <w:rtl/>
        </w:rPr>
        <w:t xml:space="preserve">הצעת חוק השידור הציבורי (תיקון </w:t>
      </w:r>
      <w:r w:rsidR="00D850B3">
        <w:rPr>
          <w:rFonts w:hint="eastAsia"/>
          <w:rtl/>
        </w:rPr>
        <w:t>–</w:t>
      </w:r>
      <w:r w:rsidR="00D850B3">
        <w:rPr>
          <w:rFonts w:hint="cs"/>
          <w:rtl/>
        </w:rPr>
        <w:t xml:space="preserve"> </w:t>
      </w:r>
      <w:r>
        <w:rPr>
          <w:rFonts w:hint="cs"/>
          <w:rtl/>
        </w:rPr>
        <w:t>ביטול סעיף), התשע"ו</w:t>
      </w:r>
      <w:r w:rsidR="00D850B3">
        <w:rPr>
          <w:rFonts w:hint="eastAsia"/>
          <w:rtl/>
        </w:rPr>
        <w:t>–</w:t>
      </w:r>
      <w:r>
        <w:rPr>
          <w:rFonts w:hint="cs"/>
          <w:rtl/>
        </w:rPr>
        <w:t>2015</w:t>
      </w:r>
      <w:bookmarkEnd w:id="7"/>
    </w:p>
    <w:p w:rsidR="00E13C27" w:rsidRDefault="00E13C27" w:rsidP="0021633A">
      <w:pPr>
        <w:pStyle w:val="HeadDivreiHesber"/>
        <w:spacing w:before="0" w:after="0"/>
        <w:rPr>
          <w:rtl/>
        </w:rPr>
      </w:pP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7146"/>
      </w:tblGrid>
      <w:tr w:rsidR="002F1D80" w:rsidTr="002C3041">
        <w:trPr>
          <w:cantSplit/>
          <w:trHeight w:val="60"/>
        </w:trPr>
        <w:tc>
          <w:tcPr>
            <w:tcW w:w="1871" w:type="dxa"/>
          </w:tcPr>
          <w:p w:rsidR="002F1D80" w:rsidRDefault="00C55EA5" w:rsidP="00C55EA5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 xml:space="preserve">תיקון סעיף 113 </w:t>
            </w:r>
          </w:p>
        </w:tc>
        <w:tc>
          <w:tcPr>
            <w:tcW w:w="624" w:type="dxa"/>
          </w:tcPr>
          <w:p w:rsidR="002F1D80" w:rsidRDefault="0083678A" w:rsidP="002C3041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:rsidR="002F1D80" w:rsidRPr="009E40F6" w:rsidRDefault="009E40F6" w:rsidP="009E40F6">
            <w:pPr>
              <w:pStyle w:val="TableBlock"/>
            </w:pPr>
            <w:r>
              <w:rPr>
                <w:rFonts w:hint="cs"/>
                <w:rtl/>
              </w:rPr>
              <w:t>בחוק השידור הציבורי</w:t>
            </w:r>
            <w:r w:rsidR="000C7A80">
              <w:rPr>
                <w:rFonts w:hint="cs"/>
                <w:rtl/>
              </w:rPr>
              <w:t xml:space="preserve"> הישראלי</w:t>
            </w:r>
            <w:r>
              <w:rPr>
                <w:rFonts w:hint="cs"/>
                <w:rtl/>
              </w:rPr>
              <w:t>, התשע"ד</w:t>
            </w:r>
            <w:r>
              <w:rPr>
                <w:rFonts w:hint="eastAsia"/>
                <w:rtl/>
              </w:rPr>
              <w:t>–2014</w:t>
            </w:r>
            <w:r>
              <w:rPr>
                <w:rStyle w:val="a5"/>
                <w:rtl/>
              </w:rPr>
              <w:footnoteReference w:id="2"/>
            </w:r>
            <w:r>
              <w:rPr>
                <w:rFonts w:hint="cs"/>
                <w:rtl/>
              </w:rPr>
              <w:t>, ב</w:t>
            </w:r>
            <w:r w:rsidR="0083678A" w:rsidRPr="009E40F6">
              <w:rPr>
                <w:rFonts w:hint="cs"/>
                <w:rtl/>
              </w:rPr>
              <w:t>סעיף 113(ב)</w:t>
            </w:r>
            <w:r>
              <w:rPr>
                <w:rFonts w:hint="cs"/>
                <w:rtl/>
              </w:rPr>
              <w:t>,</w:t>
            </w:r>
            <w:r w:rsidR="0083678A" w:rsidRPr="009E40F6">
              <w:rPr>
                <w:rFonts w:hint="cs"/>
                <w:rtl/>
              </w:rPr>
              <w:t xml:space="preserve"> </w:t>
            </w:r>
            <w:r w:rsidR="00D850B3">
              <w:rPr>
                <w:rFonts w:hint="cs"/>
                <w:rtl/>
              </w:rPr>
              <w:t>פ</w:t>
            </w:r>
            <w:r>
              <w:rPr>
                <w:rFonts w:hint="cs"/>
                <w:rtl/>
              </w:rPr>
              <w:t xml:space="preserve">סקה </w:t>
            </w:r>
            <w:r w:rsidR="0083678A" w:rsidRPr="009E40F6">
              <w:rPr>
                <w:rFonts w:hint="cs"/>
                <w:rtl/>
              </w:rPr>
              <w:t xml:space="preserve">(5)  </w:t>
            </w:r>
            <w:r w:rsidR="0083678A" w:rsidRPr="009E40F6">
              <w:rPr>
                <w:rtl/>
              </w:rPr>
              <w:t>–</w:t>
            </w:r>
            <w:r w:rsidR="0083678A" w:rsidRPr="009E40F6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תימחק</w:t>
            </w:r>
            <w:r w:rsidR="0083678A" w:rsidRPr="009E40F6">
              <w:rPr>
                <w:rFonts w:hint="cs"/>
                <w:rtl/>
              </w:rPr>
              <w:t>.</w:t>
            </w:r>
          </w:p>
        </w:tc>
      </w:tr>
    </w:tbl>
    <w:p w:rsidR="002D1EE3" w:rsidRDefault="002D1EE3" w:rsidP="002D1EE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="00E0170A" w:rsidRDefault="00144F0C" w:rsidP="00700D42">
      <w:pPr>
        <w:pStyle w:val="Hesber"/>
        <w:rPr>
          <w:rtl/>
        </w:rPr>
      </w:pPr>
      <w:r>
        <w:rPr>
          <w:rFonts w:hint="cs"/>
          <w:rtl/>
        </w:rPr>
        <w:t xml:space="preserve">חופש העיתונות הוא </w:t>
      </w:r>
      <w:r w:rsidR="00E212FF">
        <w:rPr>
          <w:rFonts w:hint="cs"/>
          <w:rtl/>
        </w:rPr>
        <w:t xml:space="preserve">מערכי היסוד </w:t>
      </w:r>
      <w:r>
        <w:rPr>
          <w:rFonts w:hint="cs"/>
          <w:rtl/>
        </w:rPr>
        <w:t xml:space="preserve">החשובים ביותר לקיומו </w:t>
      </w:r>
      <w:r w:rsidR="00CF76BE">
        <w:rPr>
          <w:rFonts w:hint="cs"/>
          <w:rtl/>
        </w:rPr>
        <w:t xml:space="preserve">והבטחתו </w:t>
      </w:r>
      <w:r>
        <w:rPr>
          <w:rFonts w:hint="cs"/>
          <w:rtl/>
        </w:rPr>
        <w:t>של משטר דמוקרטי</w:t>
      </w:r>
      <w:r w:rsidR="00CF76BE">
        <w:rPr>
          <w:rFonts w:hint="cs"/>
          <w:rtl/>
        </w:rPr>
        <w:t xml:space="preserve"> תקין</w:t>
      </w:r>
      <w:r w:rsidR="00D850B3">
        <w:rPr>
          <w:rFonts w:hint="cs"/>
          <w:rtl/>
        </w:rPr>
        <w:t>.</w:t>
      </w:r>
      <w:r w:rsidR="00E212FF">
        <w:rPr>
          <w:rFonts w:hint="cs"/>
          <w:rtl/>
        </w:rPr>
        <w:t xml:space="preserve"> </w:t>
      </w:r>
      <w:r w:rsidR="00CF76BE">
        <w:rPr>
          <w:rFonts w:hint="cs"/>
          <w:rtl/>
        </w:rPr>
        <w:t xml:space="preserve">תכליתו להבטיח ולבקר </w:t>
      </w:r>
      <w:r w:rsidR="00E212FF">
        <w:rPr>
          <w:rFonts w:hint="cs"/>
          <w:rtl/>
        </w:rPr>
        <w:t xml:space="preserve">את תפקוד </w:t>
      </w:r>
      <w:r w:rsidR="00797A9C">
        <w:rPr>
          <w:rFonts w:hint="cs"/>
          <w:rtl/>
        </w:rPr>
        <w:t>השלטו</w:t>
      </w:r>
      <w:r w:rsidR="00BF2621">
        <w:rPr>
          <w:rFonts w:hint="cs"/>
          <w:rtl/>
        </w:rPr>
        <w:t>ן.</w:t>
      </w:r>
      <w:r w:rsidR="00797A9C">
        <w:rPr>
          <w:rFonts w:hint="cs"/>
          <w:rtl/>
        </w:rPr>
        <w:t xml:space="preserve"> לצורך כך הכרחי</w:t>
      </w:r>
      <w:r w:rsidR="00CF76BE">
        <w:rPr>
          <w:rFonts w:hint="cs"/>
          <w:rtl/>
        </w:rPr>
        <w:t xml:space="preserve"> לעגן בחוק </w:t>
      </w:r>
      <w:r w:rsidR="00E212FF">
        <w:rPr>
          <w:rFonts w:hint="cs"/>
          <w:rtl/>
        </w:rPr>
        <w:t>את אי</w:t>
      </w:r>
      <w:r w:rsidR="00797A9C">
        <w:rPr>
          <w:rFonts w:hint="cs"/>
          <w:rtl/>
        </w:rPr>
        <w:t>-</w:t>
      </w:r>
      <w:r w:rsidR="004848A5">
        <w:rPr>
          <w:rFonts w:hint="cs"/>
          <w:rtl/>
        </w:rPr>
        <w:t xml:space="preserve">תלות העיתונות בשלטון. </w:t>
      </w:r>
      <w:r w:rsidR="009E40F6">
        <w:rPr>
          <w:rFonts w:hint="cs"/>
          <w:rtl/>
        </w:rPr>
        <w:t xml:space="preserve">פסקה </w:t>
      </w:r>
      <w:r w:rsidR="00E71464">
        <w:rPr>
          <w:rFonts w:hint="cs"/>
          <w:rtl/>
        </w:rPr>
        <w:t>(</w:t>
      </w:r>
      <w:r w:rsidR="009E40F6">
        <w:rPr>
          <w:rFonts w:hint="cs"/>
          <w:rtl/>
        </w:rPr>
        <w:t>5</w:t>
      </w:r>
      <w:r w:rsidR="00E71464">
        <w:rPr>
          <w:rFonts w:hint="cs"/>
          <w:rtl/>
        </w:rPr>
        <w:t>)</w:t>
      </w:r>
      <w:r w:rsidR="009E40F6">
        <w:rPr>
          <w:rFonts w:hint="cs"/>
          <w:rtl/>
        </w:rPr>
        <w:t xml:space="preserve"> ב</w:t>
      </w:r>
      <w:r w:rsidR="004848A5">
        <w:rPr>
          <w:rFonts w:hint="cs"/>
          <w:rtl/>
        </w:rPr>
        <w:t>סע</w:t>
      </w:r>
      <w:r w:rsidR="00E916FF">
        <w:rPr>
          <w:rFonts w:hint="cs"/>
          <w:rtl/>
        </w:rPr>
        <w:t xml:space="preserve">יף </w:t>
      </w:r>
      <w:r w:rsidR="00490D07">
        <w:rPr>
          <w:rFonts w:hint="cs"/>
          <w:rtl/>
        </w:rPr>
        <w:t xml:space="preserve">113(ב) </w:t>
      </w:r>
      <w:r w:rsidR="009E40F6">
        <w:rPr>
          <w:rFonts w:hint="cs"/>
          <w:rtl/>
        </w:rPr>
        <w:t>לחוק השידור הציבורי</w:t>
      </w:r>
      <w:r w:rsidR="000C7A80">
        <w:rPr>
          <w:rFonts w:hint="cs"/>
          <w:rtl/>
        </w:rPr>
        <w:t xml:space="preserve"> הישראלי</w:t>
      </w:r>
      <w:r w:rsidR="009E40F6">
        <w:rPr>
          <w:rFonts w:hint="cs"/>
          <w:rtl/>
        </w:rPr>
        <w:t>, התשע"ד</w:t>
      </w:r>
      <w:r w:rsidR="009E40F6">
        <w:rPr>
          <w:rFonts w:hint="eastAsia"/>
          <w:rtl/>
        </w:rPr>
        <w:t>–2014</w:t>
      </w:r>
      <w:r w:rsidR="00D850B3">
        <w:rPr>
          <w:rFonts w:hint="cs"/>
          <w:rtl/>
        </w:rPr>
        <w:t>,</w:t>
      </w:r>
      <w:r w:rsidR="00490D07">
        <w:rPr>
          <w:rFonts w:hint="cs"/>
          <w:rtl/>
        </w:rPr>
        <w:t xml:space="preserve"> מגביל</w:t>
      </w:r>
      <w:r w:rsidR="009E40F6">
        <w:rPr>
          <w:rFonts w:hint="cs"/>
          <w:rtl/>
        </w:rPr>
        <w:t>ה</w:t>
      </w:r>
      <w:r w:rsidR="00490D07">
        <w:rPr>
          <w:rFonts w:hint="cs"/>
          <w:rtl/>
        </w:rPr>
        <w:t xml:space="preserve"> את חופש הביטוי </w:t>
      </w:r>
      <w:r w:rsidR="004848A5">
        <w:rPr>
          <w:rFonts w:hint="cs"/>
          <w:rtl/>
        </w:rPr>
        <w:t>בשי</w:t>
      </w:r>
      <w:r w:rsidR="00E916FF">
        <w:rPr>
          <w:rFonts w:hint="cs"/>
          <w:rtl/>
        </w:rPr>
        <w:t>דור הציבורי</w:t>
      </w:r>
      <w:r w:rsidR="00490D07">
        <w:rPr>
          <w:rFonts w:hint="cs"/>
          <w:rtl/>
        </w:rPr>
        <w:t xml:space="preserve"> ופוגעת בו</w:t>
      </w:r>
      <w:r w:rsidR="00581C55">
        <w:rPr>
          <w:rFonts w:hint="cs"/>
          <w:rtl/>
        </w:rPr>
        <w:t xml:space="preserve"> </w:t>
      </w:r>
      <w:r w:rsidR="00700D42">
        <w:rPr>
          <w:rFonts w:hint="cs"/>
          <w:rtl/>
        </w:rPr>
        <w:t>ועל כן יש לבטל</w:t>
      </w:r>
      <w:r w:rsidR="009E40F6">
        <w:rPr>
          <w:rFonts w:hint="cs"/>
          <w:rtl/>
        </w:rPr>
        <w:t>ה</w:t>
      </w:r>
      <w:r w:rsidR="00700D42">
        <w:rPr>
          <w:rFonts w:hint="cs"/>
          <w:rtl/>
        </w:rPr>
        <w:t xml:space="preserve"> לאלתר.</w:t>
      </w:r>
    </w:p>
    <w:p w:rsidR="00E13C27" w:rsidRDefault="00E0170A" w:rsidP="00700D42">
      <w:pPr>
        <w:pStyle w:val="Hesber"/>
        <w:rPr>
          <w:rtl/>
        </w:rPr>
      </w:pPr>
      <w:r>
        <w:rPr>
          <w:rFonts w:hint="cs"/>
          <w:rtl/>
        </w:rPr>
        <w:t xml:space="preserve">הצעת חוק דומה בעיקרה הונחה על שולחן הכנסת העשרים על ידי חברת הכנסת </w:t>
      </w:r>
      <w:r w:rsidR="00B91D9E">
        <w:rPr>
          <w:rFonts w:hint="cs"/>
          <w:rtl/>
        </w:rPr>
        <w:t>ציפי לבני וחבר הכנסת רועי פולקמן (פ/2052/20).</w:t>
      </w:r>
      <w:r w:rsidR="00700D42">
        <w:rPr>
          <w:rFonts w:hint="cs"/>
          <w:rtl/>
        </w:rPr>
        <w:t xml:space="preserve"> </w:t>
      </w:r>
      <w:r w:rsidR="00581C55">
        <w:rPr>
          <w:rFonts w:hint="cs"/>
          <w:rtl/>
        </w:rPr>
        <w:t xml:space="preserve"> </w:t>
      </w:r>
    </w:p>
    <w:p w:rsidR="00D850B3" w:rsidRDefault="00D850B3" w:rsidP="00700D42">
      <w:pPr>
        <w:pStyle w:val="Hesber"/>
        <w:rPr>
          <w:rtl/>
        </w:rPr>
      </w:pPr>
    </w:p>
    <w:p w:rsidR="00D850B3" w:rsidRPr="00557D2C" w:rsidRDefault="00D850B3" w:rsidP="007D273A">
      <w:pPr>
        <w:pStyle w:val="Hesber"/>
        <w:rPr>
          <w:rtl/>
        </w:rPr>
      </w:pPr>
      <w:r w:rsidRPr="00557D2C">
        <w:rPr>
          <w:rtl/>
        </w:rPr>
        <w:t>---------------------------------</w:t>
      </w:r>
    </w:p>
    <w:p w:rsidR="00D850B3" w:rsidRPr="00557D2C" w:rsidRDefault="00D850B3" w:rsidP="007D273A">
      <w:pPr>
        <w:pStyle w:val="Hesber"/>
        <w:rPr>
          <w:rtl/>
        </w:rPr>
      </w:pPr>
      <w:r w:rsidRPr="00557D2C">
        <w:rPr>
          <w:rtl/>
        </w:rPr>
        <w:t>הוגשה ליו"ר הכנסת והסגנים</w:t>
      </w:r>
    </w:p>
    <w:p w:rsidR="00D850B3" w:rsidRPr="00557D2C" w:rsidRDefault="00D850B3" w:rsidP="007D273A">
      <w:pPr>
        <w:pStyle w:val="Hesber"/>
        <w:rPr>
          <w:rtl/>
        </w:rPr>
      </w:pPr>
      <w:r w:rsidRPr="00557D2C">
        <w:rPr>
          <w:rtl/>
        </w:rPr>
        <w:t>והונחה על שולחן הכנסת ביום</w:t>
      </w:r>
    </w:p>
    <w:p w:rsidR="00D850B3" w:rsidRDefault="004C438A" w:rsidP="004C438A">
      <w:pPr>
        <w:pStyle w:val="Hesber"/>
        <w:rPr>
          <w:rtl/>
        </w:rPr>
      </w:pPr>
      <w:r>
        <w:rPr>
          <w:rFonts w:hint="cs"/>
          <w:rtl/>
        </w:rPr>
        <w:t>ו'</w:t>
      </w:r>
      <w:r w:rsidR="00D850B3">
        <w:rPr>
          <w:rFonts w:hint="cs"/>
          <w:rtl/>
        </w:rPr>
        <w:t xml:space="preserve"> ב</w:t>
      </w:r>
      <w:r>
        <w:rPr>
          <w:rFonts w:hint="cs"/>
          <w:rtl/>
        </w:rPr>
        <w:t>חשוון</w:t>
      </w:r>
      <w:r w:rsidR="00D850B3">
        <w:rPr>
          <w:rFonts w:hint="cs"/>
          <w:rtl/>
        </w:rPr>
        <w:t xml:space="preserve"> התשע"ו</w:t>
      </w:r>
      <w:r w:rsidR="00D850B3" w:rsidRPr="00557D2C">
        <w:rPr>
          <w:rFonts w:hint="cs"/>
          <w:rtl/>
        </w:rPr>
        <w:t xml:space="preserve"> </w:t>
      </w:r>
      <w:r w:rsidR="00D850B3" w:rsidRPr="00557D2C">
        <w:rPr>
          <w:rtl/>
        </w:rPr>
        <w:t>–</w:t>
      </w:r>
      <w:r w:rsidR="00D850B3">
        <w:rPr>
          <w:rFonts w:hint="cs"/>
          <w:rtl/>
        </w:rPr>
        <w:t xml:space="preserve"> 1</w:t>
      </w:r>
      <w:r>
        <w:rPr>
          <w:rFonts w:hint="cs"/>
          <w:rtl/>
        </w:rPr>
        <w:t>9</w:t>
      </w:r>
      <w:r w:rsidR="00D850B3">
        <w:rPr>
          <w:rFonts w:hint="cs"/>
          <w:rtl/>
        </w:rPr>
        <w:t>.10.15</w:t>
      </w:r>
    </w:p>
    <w:p w:rsidR="00797A9C" w:rsidRDefault="00797A9C" w:rsidP="00700D42">
      <w:pPr>
        <w:pStyle w:val="Hesber"/>
        <w:rPr>
          <w:rtl/>
        </w:rPr>
      </w:pPr>
    </w:p>
    <w:sectPr w:rsidR="00797A9C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0B0" w:rsidRDefault="004500B0">
      <w:r>
        <w:separator/>
      </w:r>
    </w:p>
  </w:endnote>
  <w:endnote w:type="continuationSeparator" w:id="0">
    <w:p w:rsidR="004500B0" w:rsidRDefault="004500B0">
      <w:r>
        <w:continuationSeparator/>
      </w:r>
    </w:p>
  </w:endnote>
  <w:endnote w:type="continuationNotice" w:id="1">
    <w:p w:rsidR="004500B0" w:rsidRDefault="004500B0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0B0" w:rsidRDefault="004500B0">
      <w:r>
        <w:separator/>
      </w:r>
    </w:p>
  </w:footnote>
  <w:footnote w:type="continuationSeparator" w:id="0">
    <w:p w:rsidR="004500B0" w:rsidRDefault="004500B0">
      <w:r>
        <w:continuationSeparator/>
      </w:r>
    </w:p>
  </w:footnote>
  <w:footnote w:type="continuationNotice" w:id="1">
    <w:p w:rsidR="004500B0" w:rsidRDefault="004500B0"/>
  </w:footnote>
  <w:footnote w:id="2">
    <w:p w:rsidR="009E40F6" w:rsidRDefault="009E40F6">
      <w:pPr>
        <w:pStyle w:val="a4"/>
      </w:pPr>
      <w:r>
        <w:rPr>
          <w:rStyle w:val="a5"/>
        </w:rPr>
        <w:footnoteRef/>
      </w:r>
      <w:r>
        <w:rPr>
          <w:rtl/>
        </w:rPr>
        <w:t xml:space="preserve"> ס"ח התשע"ד, עמ' 778.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0C7A80"/>
    <w:rsid w:val="00102B6B"/>
    <w:rsid w:val="001052D4"/>
    <w:rsid w:val="0010644B"/>
    <w:rsid w:val="001207F8"/>
    <w:rsid w:val="00121924"/>
    <w:rsid w:val="001279A8"/>
    <w:rsid w:val="0014195F"/>
    <w:rsid w:val="00144F0C"/>
    <w:rsid w:val="00152609"/>
    <w:rsid w:val="00153E1B"/>
    <w:rsid w:val="00192E78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500B0"/>
    <w:rsid w:val="004848A5"/>
    <w:rsid w:val="00490D07"/>
    <w:rsid w:val="004A06DC"/>
    <w:rsid w:val="004B24ED"/>
    <w:rsid w:val="004B6625"/>
    <w:rsid w:val="004C438A"/>
    <w:rsid w:val="004D2D82"/>
    <w:rsid w:val="004D3876"/>
    <w:rsid w:val="004E4552"/>
    <w:rsid w:val="004E6CDF"/>
    <w:rsid w:val="00553C9D"/>
    <w:rsid w:val="00562A66"/>
    <w:rsid w:val="00581C55"/>
    <w:rsid w:val="005B064E"/>
    <w:rsid w:val="005D51AE"/>
    <w:rsid w:val="0062674B"/>
    <w:rsid w:val="006363B2"/>
    <w:rsid w:val="00644940"/>
    <w:rsid w:val="006818A9"/>
    <w:rsid w:val="006A2D81"/>
    <w:rsid w:val="006A4F70"/>
    <w:rsid w:val="006C1D0D"/>
    <w:rsid w:val="00700D42"/>
    <w:rsid w:val="0070601E"/>
    <w:rsid w:val="00712C72"/>
    <w:rsid w:val="00735FE9"/>
    <w:rsid w:val="00763CAA"/>
    <w:rsid w:val="00765F66"/>
    <w:rsid w:val="007670B8"/>
    <w:rsid w:val="0078664F"/>
    <w:rsid w:val="00797A9C"/>
    <w:rsid w:val="007C3FA6"/>
    <w:rsid w:val="007D21A9"/>
    <w:rsid w:val="007D585A"/>
    <w:rsid w:val="007D5A12"/>
    <w:rsid w:val="007E59F9"/>
    <w:rsid w:val="00810BCD"/>
    <w:rsid w:val="00812C98"/>
    <w:rsid w:val="00814D92"/>
    <w:rsid w:val="0083181D"/>
    <w:rsid w:val="0083678A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1274B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9E40F6"/>
    <w:rsid w:val="00A14672"/>
    <w:rsid w:val="00A26BD6"/>
    <w:rsid w:val="00A443CF"/>
    <w:rsid w:val="00A6611D"/>
    <w:rsid w:val="00A82CB7"/>
    <w:rsid w:val="00A942C1"/>
    <w:rsid w:val="00AA17B7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1D9E"/>
    <w:rsid w:val="00B975AD"/>
    <w:rsid w:val="00BC45FB"/>
    <w:rsid w:val="00BF148D"/>
    <w:rsid w:val="00BF2621"/>
    <w:rsid w:val="00C23B1A"/>
    <w:rsid w:val="00C310EB"/>
    <w:rsid w:val="00C55EA5"/>
    <w:rsid w:val="00C9176A"/>
    <w:rsid w:val="00CF1AA2"/>
    <w:rsid w:val="00CF76BE"/>
    <w:rsid w:val="00D17774"/>
    <w:rsid w:val="00D63620"/>
    <w:rsid w:val="00D8410D"/>
    <w:rsid w:val="00D850B3"/>
    <w:rsid w:val="00D867D7"/>
    <w:rsid w:val="00DB7060"/>
    <w:rsid w:val="00DE3153"/>
    <w:rsid w:val="00E0170A"/>
    <w:rsid w:val="00E06736"/>
    <w:rsid w:val="00E13C27"/>
    <w:rsid w:val="00E212FF"/>
    <w:rsid w:val="00E33BBD"/>
    <w:rsid w:val="00E374F2"/>
    <w:rsid w:val="00E45103"/>
    <w:rsid w:val="00E55A60"/>
    <w:rsid w:val="00E62778"/>
    <w:rsid w:val="00E63D38"/>
    <w:rsid w:val="00E665B9"/>
    <w:rsid w:val="00E71464"/>
    <w:rsid w:val="00E916FF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6EB84DF20CE4D8D9D1A5C7A92FD24" ma:contentTypeVersion="0" ma:contentTypeDescription="Create a new document." ma:contentTypeScope="" ma:versionID="99fd2faca98684dfaf8c37f6393491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92B36-A279-4FB1-A29F-548D64AEE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5AC0F8-9689-4592-886B-03A420CD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דפנה ברנאי</cp:lastModifiedBy>
  <cp:revision>14</cp:revision>
  <cp:lastPrinted>2015-10-15T11:07:00Z</cp:lastPrinted>
  <dcterms:created xsi:type="dcterms:W3CDTF">2015-04-20T09:58:00Z</dcterms:created>
  <dcterms:modified xsi:type="dcterms:W3CDTF">2015-10-15T11:07:00Z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0x0101008386EB84DF20CE4D8D9D1A5C7A92FD24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569011</vt:r8>
  </property>
</Properties>
</file>