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961A1" w14:textId="77777777" w:rsidR="002C2E29" w:rsidRPr="0000131B" w:rsidRDefault="004033D8" w:rsidP="00A443CF">
      <w:pPr>
        <w:pStyle w:val="HeadHatzaotHok"/>
        <w:jc w:val="right"/>
        <w:rPr>
          <w:b w:val="0"/>
          <w:bCs w:val="0"/>
          <w:szCs w:val="20"/>
        </w:rPr>
      </w:pPr>
      <w:bookmarkStart w:id="0" w:name="_GoBack"/>
      <w:bookmarkEnd w:id="0"/>
      <w:r w:rsidRPr="0000131B">
        <w:rPr>
          <w:rFonts w:hint="cs"/>
          <w:b w:val="0"/>
          <w:bCs w:val="0"/>
          <w:szCs w:val="20"/>
          <w:rtl/>
        </w:rPr>
        <w:t xml:space="preserve">מספר פנימי: </w:t>
      </w:r>
      <w:bookmarkStart w:id="1" w:name="LGS_Internal_ID"/>
      <w:r>
        <w:rPr>
          <w:rFonts w:hint="cs"/>
          <w:b w:val="0"/>
          <w:bCs w:val="0"/>
          <w:szCs w:val="20"/>
          <w:rtl/>
        </w:rPr>
        <w:t>566478</w:t>
      </w:r>
      <w:bookmarkEnd w:id="1"/>
    </w:p>
    <w:p w14:paraId="4FED8B9D" w14:textId="77777777" w:rsidR="00F76794" w:rsidRPr="00DB7060" w:rsidRDefault="00F76794" w:rsidP="00F76794">
      <w:pPr>
        <w:pStyle w:val="HeadHatzaotHok"/>
        <w:rPr>
          <w:sz w:val="28"/>
          <w:szCs w:val="28"/>
          <w:rtl/>
        </w:rPr>
      </w:pPr>
      <w:r w:rsidRPr="00DB7060">
        <w:rPr>
          <w:rFonts w:hint="cs"/>
          <w:sz w:val="28"/>
          <w:szCs w:val="28"/>
          <w:rtl/>
        </w:rPr>
        <w:t xml:space="preserve">הכנסת </w:t>
      </w:r>
      <w:bookmarkStart w:id="2" w:name="KnessetNum"/>
      <w:r w:rsidRPr="00827D7E">
        <w:rPr>
          <w:sz w:val="28"/>
          <w:szCs w:val="28"/>
          <w:rtl/>
        </w:rPr>
        <w:t>ה</w:t>
      </w:r>
      <w:r>
        <w:rPr>
          <w:rFonts w:hint="cs"/>
          <w:sz w:val="28"/>
          <w:szCs w:val="28"/>
          <w:rtl/>
        </w:rPr>
        <w:t>עשרים</w:t>
      </w:r>
      <w:bookmarkEnd w:id="2"/>
    </w:p>
    <w:p w14:paraId="6711DB27" w14:textId="77777777" w:rsidR="00F76794" w:rsidRDefault="00F76794" w:rsidP="00F76794">
      <w:pPr>
        <w:rPr>
          <w:rFonts w:cs="David"/>
          <w:sz w:val="26"/>
          <w:szCs w:val="26"/>
          <w:rtl/>
        </w:rPr>
      </w:pPr>
    </w:p>
    <w:p w14:paraId="33114E32" w14:textId="2F86A296" w:rsidR="00F76794" w:rsidRDefault="00F76794" w:rsidP="00D05094">
      <w:pPr>
        <w:pStyle w:val="David"/>
        <w:spacing w:line="360" w:lineRule="auto"/>
        <w:ind w:left="2880" w:firstLine="720"/>
        <w:rPr>
          <w:b/>
          <w:bCs/>
          <w:rtl/>
        </w:rPr>
      </w:pPr>
      <w:bookmarkStart w:id="3" w:name="MKsSingleOrMulti"/>
      <w:r w:rsidRPr="00996925">
        <w:rPr>
          <w:rFonts w:hint="cs"/>
          <w:b/>
          <w:bCs/>
          <w:rtl/>
        </w:rPr>
        <w:t xml:space="preserve">יוזמים :      </w:t>
      </w:r>
      <w:r w:rsidRPr="00996925">
        <w:rPr>
          <w:b/>
          <w:bCs/>
          <w:rtl/>
        </w:rPr>
        <w:t>חבר</w:t>
      </w:r>
      <w:r w:rsidRPr="00996925">
        <w:rPr>
          <w:rFonts w:hint="cs"/>
          <w:b/>
          <w:bCs/>
          <w:rtl/>
        </w:rPr>
        <w:t>י</w:t>
      </w:r>
      <w:r w:rsidRPr="00996925">
        <w:rPr>
          <w:b/>
          <w:bCs/>
          <w:rtl/>
        </w:rPr>
        <w:t xml:space="preserve"> הכנסת</w:t>
      </w:r>
      <w:bookmarkEnd w:id="3"/>
      <w:r w:rsidRPr="00996925">
        <w:rPr>
          <w:b/>
          <w:bCs/>
        </w:rPr>
        <w:tab/>
      </w:r>
      <w:bookmarkStart w:id="4" w:name="LGS_PM_Names"/>
      <w:bookmarkStart w:id="5" w:name="MKs"/>
      <w:r w:rsidRPr="00996925">
        <w:rPr>
          <w:b/>
          <w:bCs/>
          <w:rtl/>
        </w:rPr>
        <w:t>נאוה בוקר</w:t>
      </w:r>
      <w:r w:rsidRPr="00996925">
        <w:rPr>
          <w:b/>
          <w:bCs/>
          <w:rtl/>
        </w:rPr>
        <w:tab/>
      </w:r>
      <w:r w:rsidRPr="00996925">
        <w:rPr>
          <w:b/>
          <w:bCs/>
          <w:rtl/>
        </w:rPr>
        <w:tab/>
      </w:r>
      <w:bookmarkEnd w:id="4"/>
      <w:r w:rsidRPr="00996925">
        <w:rPr>
          <w:b/>
          <w:bCs/>
          <w:rtl/>
        </w:rPr>
        <w:br/>
      </w:r>
      <w:r w:rsidRPr="00996925">
        <w:rPr>
          <w:b/>
          <w:bCs/>
          <w:rtl/>
        </w:rPr>
        <w:tab/>
        <w:t xml:space="preserve"> </w:t>
      </w:r>
      <w:r w:rsidRPr="00996925">
        <w:rPr>
          <w:b/>
          <w:bCs/>
        </w:rPr>
        <w:tab/>
      </w:r>
      <w:r w:rsidRPr="00996925">
        <w:rPr>
          <w:b/>
          <w:bCs/>
        </w:rPr>
        <w:tab/>
      </w:r>
      <w:r w:rsidRPr="00996925">
        <w:rPr>
          <w:b/>
          <w:bCs/>
        </w:rPr>
        <w:tab/>
      </w:r>
      <w:r w:rsidRPr="00996925">
        <w:rPr>
          <w:b/>
          <w:bCs/>
        </w:rPr>
        <w:tab/>
      </w:r>
      <w:r w:rsidR="00D05094">
        <w:rPr>
          <w:rFonts w:hint="cs"/>
          <w:b/>
          <w:bCs/>
          <w:rtl/>
        </w:rPr>
        <w:t xml:space="preserve">יחיאל </w:t>
      </w:r>
      <w:proofErr w:type="spellStart"/>
      <w:r w:rsidRPr="00996925">
        <w:rPr>
          <w:rFonts w:hint="cs"/>
          <w:b/>
          <w:bCs/>
          <w:rtl/>
        </w:rPr>
        <w:t>חיליק</w:t>
      </w:r>
      <w:proofErr w:type="spellEnd"/>
      <w:r w:rsidRPr="00996925">
        <w:rPr>
          <w:rFonts w:hint="cs"/>
          <w:b/>
          <w:bCs/>
          <w:rtl/>
        </w:rPr>
        <w:t xml:space="preserve"> בר</w:t>
      </w:r>
      <w:r w:rsidRPr="00996925">
        <w:rPr>
          <w:rFonts w:hint="cs"/>
          <w:b/>
          <w:bCs/>
          <w:rtl/>
        </w:rPr>
        <w:br/>
      </w:r>
      <w:r w:rsidRPr="00996925">
        <w:rPr>
          <w:rFonts w:hint="cs"/>
          <w:b/>
          <w:bCs/>
          <w:rtl/>
        </w:rPr>
        <w:tab/>
        <w:t xml:space="preserve"> </w:t>
      </w:r>
      <w:r w:rsidRPr="00996925">
        <w:rPr>
          <w:b/>
          <w:bCs/>
        </w:rPr>
        <w:tab/>
      </w:r>
      <w:r w:rsidRPr="00996925">
        <w:rPr>
          <w:b/>
          <w:bCs/>
        </w:rPr>
        <w:tab/>
      </w:r>
      <w:r w:rsidRPr="00996925">
        <w:rPr>
          <w:b/>
          <w:bCs/>
        </w:rPr>
        <w:tab/>
      </w:r>
      <w:r w:rsidRPr="00996925">
        <w:rPr>
          <w:b/>
          <w:bCs/>
        </w:rPr>
        <w:tab/>
      </w:r>
      <w:r w:rsidRPr="00996925">
        <w:rPr>
          <w:rFonts w:hint="cs"/>
          <w:b/>
          <w:bCs/>
          <w:rtl/>
        </w:rPr>
        <w:t>דוד ביטן</w:t>
      </w:r>
      <w:r w:rsidRPr="00996925">
        <w:rPr>
          <w:rFonts w:hint="cs"/>
          <w:b/>
          <w:bCs/>
          <w:rtl/>
        </w:rPr>
        <w:br/>
      </w:r>
      <w:r w:rsidRPr="00996925">
        <w:rPr>
          <w:rFonts w:hint="cs"/>
          <w:b/>
          <w:bCs/>
          <w:rtl/>
        </w:rPr>
        <w:tab/>
        <w:t xml:space="preserve"> </w:t>
      </w:r>
      <w:r w:rsidRPr="00996925">
        <w:rPr>
          <w:b/>
          <w:bCs/>
        </w:rPr>
        <w:tab/>
      </w:r>
      <w:r w:rsidRPr="00996925">
        <w:rPr>
          <w:b/>
          <w:bCs/>
        </w:rPr>
        <w:tab/>
      </w:r>
      <w:r w:rsidRPr="00996925">
        <w:rPr>
          <w:b/>
          <w:bCs/>
        </w:rPr>
        <w:tab/>
      </w:r>
      <w:r w:rsidRPr="00996925">
        <w:rPr>
          <w:b/>
          <w:bCs/>
        </w:rPr>
        <w:tab/>
      </w:r>
      <w:r w:rsidRPr="00996925">
        <w:rPr>
          <w:rFonts w:hint="cs"/>
          <w:b/>
          <w:bCs/>
          <w:rtl/>
        </w:rPr>
        <w:t>רועי פולקמן</w:t>
      </w:r>
      <w:r w:rsidRPr="00996925">
        <w:rPr>
          <w:rFonts w:hint="cs"/>
          <w:b/>
          <w:bCs/>
          <w:rtl/>
        </w:rPr>
        <w:br/>
      </w:r>
      <w:r w:rsidRPr="00996925">
        <w:rPr>
          <w:rFonts w:hint="cs"/>
          <w:b/>
          <w:bCs/>
          <w:rtl/>
        </w:rPr>
        <w:tab/>
        <w:t xml:space="preserve"> </w:t>
      </w:r>
      <w:r w:rsidRPr="00996925">
        <w:rPr>
          <w:b/>
          <w:bCs/>
        </w:rPr>
        <w:tab/>
      </w:r>
      <w:r w:rsidRPr="00996925">
        <w:rPr>
          <w:b/>
          <w:bCs/>
        </w:rPr>
        <w:tab/>
      </w:r>
      <w:r w:rsidRPr="00996925">
        <w:rPr>
          <w:b/>
          <w:bCs/>
        </w:rPr>
        <w:tab/>
      </w:r>
      <w:r w:rsidRPr="00996925">
        <w:rPr>
          <w:b/>
          <w:bCs/>
        </w:rPr>
        <w:tab/>
      </w:r>
      <w:r w:rsidRPr="00996925">
        <w:rPr>
          <w:rFonts w:hint="cs"/>
          <w:b/>
          <w:bCs/>
          <w:rtl/>
        </w:rPr>
        <w:t>יעקב פרי</w:t>
      </w:r>
      <w:r w:rsidRPr="00996925">
        <w:rPr>
          <w:rFonts w:hint="cs"/>
          <w:b/>
          <w:bCs/>
          <w:rtl/>
        </w:rPr>
        <w:br/>
      </w:r>
      <w:r w:rsidRPr="00996925">
        <w:rPr>
          <w:rFonts w:hint="cs"/>
          <w:b/>
          <w:bCs/>
          <w:rtl/>
        </w:rPr>
        <w:tab/>
        <w:t xml:space="preserve"> </w:t>
      </w:r>
      <w:r w:rsidRPr="00996925">
        <w:rPr>
          <w:b/>
          <w:bCs/>
        </w:rPr>
        <w:tab/>
      </w:r>
      <w:r w:rsidRPr="00996925">
        <w:rPr>
          <w:b/>
          <w:bCs/>
        </w:rPr>
        <w:tab/>
      </w:r>
      <w:r w:rsidRPr="00996925">
        <w:rPr>
          <w:b/>
          <w:bCs/>
        </w:rPr>
        <w:tab/>
      </w:r>
      <w:r w:rsidRPr="00996925">
        <w:rPr>
          <w:b/>
          <w:bCs/>
        </w:rPr>
        <w:tab/>
      </w:r>
      <w:r w:rsidRPr="00996925">
        <w:rPr>
          <w:rFonts w:hint="cs"/>
          <w:b/>
          <w:bCs/>
          <w:rtl/>
        </w:rPr>
        <w:t xml:space="preserve">רוברט </w:t>
      </w:r>
      <w:proofErr w:type="spellStart"/>
      <w:r w:rsidRPr="00996925">
        <w:rPr>
          <w:rFonts w:hint="cs"/>
          <w:b/>
          <w:bCs/>
          <w:rtl/>
        </w:rPr>
        <w:t>אילטוב</w:t>
      </w:r>
      <w:proofErr w:type="spellEnd"/>
      <w:r w:rsidRPr="00996925">
        <w:rPr>
          <w:rFonts w:hint="cs"/>
          <w:b/>
          <w:bCs/>
          <w:rtl/>
        </w:rPr>
        <w:br/>
      </w:r>
      <w:r w:rsidRPr="00996925">
        <w:rPr>
          <w:rFonts w:hint="cs"/>
          <w:b/>
          <w:bCs/>
          <w:rtl/>
        </w:rPr>
        <w:tab/>
        <w:t xml:space="preserve"> </w:t>
      </w:r>
      <w:r w:rsidRPr="00996925">
        <w:rPr>
          <w:b/>
          <w:bCs/>
        </w:rPr>
        <w:tab/>
      </w:r>
      <w:r w:rsidRPr="00996925">
        <w:rPr>
          <w:b/>
          <w:bCs/>
        </w:rPr>
        <w:tab/>
      </w:r>
      <w:r w:rsidRPr="00996925">
        <w:rPr>
          <w:b/>
          <w:bCs/>
        </w:rPr>
        <w:tab/>
      </w:r>
      <w:r w:rsidRPr="00996925">
        <w:rPr>
          <w:b/>
          <w:bCs/>
        </w:rPr>
        <w:tab/>
      </w:r>
      <w:r w:rsidRPr="00996925">
        <w:rPr>
          <w:rFonts w:hint="cs"/>
          <w:b/>
          <w:bCs/>
          <w:rtl/>
        </w:rPr>
        <w:t>יעקב מרגי</w:t>
      </w:r>
      <w:r w:rsidRPr="00996925">
        <w:rPr>
          <w:rFonts w:hint="cs"/>
          <w:b/>
          <w:bCs/>
          <w:rtl/>
        </w:rPr>
        <w:br/>
      </w:r>
      <w:r w:rsidRPr="00996925">
        <w:rPr>
          <w:rFonts w:hint="cs"/>
          <w:b/>
          <w:bCs/>
          <w:rtl/>
        </w:rPr>
        <w:tab/>
        <w:t xml:space="preserve"> </w:t>
      </w:r>
      <w:r w:rsidRPr="00996925">
        <w:rPr>
          <w:b/>
          <w:bCs/>
        </w:rPr>
        <w:tab/>
      </w:r>
      <w:r w:rsidRPr="00996925">
        <w:rPr>
          <w:b/>
          <w:bCs/>
        </w:rPr>
        <w:tab/>
      </w:r>
      <w:r w:rsidRPr="00996925">
        <w:rPr>
          <w:b/>
          <w:bCs/>
        </w:rPr>
        <w:tab/>
      </w:r>
      <w:r w:rsidRPr="00996925">
        <w:rPr>
          <w:b/>
          <w:bCs/>
        </w:rPr>
        <w:tab/>
      </w:r>
      <w:r w:rsidRPr="00996925">
        <w:rPr>
          <w:rFonts w:hint="cs"/>
          <w:b/>
          <w:bCs/>
          <w:rtl/>
        </w:rPr>
        <w:t>עבד אל</w:t>
      </w:r>
      <w:r w:rsidR="000E47D9">
        <w:rPr>
          <w:rFonts w:hint="cs"/>
          <w:b/>
          <w:bCs/>
          <w:rtl/>
        </w:rPr>
        <w:t xml:space="preserve"> </w:t>
      </w:r>
      <w:r w:rsidRPr="00996925">
        <w:rPr>
          <w:rFonts w:hint="cs"/>
          <w:b/>
          <w:bCs/>
          <w:rtl/>
        </w:rPr>
        <w:t>חכים חאג' יחיא</w:t>
      </w:r>
      <w:r w:rsidRPr="00996925">
        <w:rPr>
          <w:rFonts w:hint="cs"/>
          <w:b/>
          <w:bCs/>
          <w:rtl/>
        </w:rPr>
        <w:br/>
      </w:r>
      <w:r w:rsidRPr="00996925">
        <w:rPr>
          <w:rFonts w:hint="cs"/>
          <w:b/>
          <w:bCs/>
          <w:rtl/>
        </w:rPr>
        <w:tab/>
        <w:t xml:space="preserve"> </w:t>
      </w:r>
      <w:r w:rsidRPr="00996925">
        <w:rPr>
          <w:b/>
          <w:bCs/>
        </w:rPr>
        <w:tab/>
      </w:r>
      <w:r w:rsidRPr="00996925">
        <w:rPr>
          <w:b/>
          <w:bCs/>
        </w:rPr>
        <w:tab/>
      </w:r>
      <w:r w:rsidRPr="00996925">
        <w:rPr>
          <w:b/>
          <w:bCs/>
        </w:rPr>
        <w:tab/>
      </w:r>
      <w:r w:rsidRPr="00996925">
        <w:rPr>
          <w:b/>
          <w:bCs/>
        </w:rPr>
        <w:tab/>
      </w:r>
      <w:r w:rsidRPr="00996925">
        <w:rPr>
          <w:rFonts w:hint="cs"/>
          <w:b/>
          <w:bCs/>
          <w:rtl/>
        </w:rPr>
        <w:t xml:space="preserve">טלי </w:t>
      </w:r>
      <w:proofErr w:type="spellStart"/>
      <w:r w:rsidRPr="00996925">
        <w:rPr>
          <w:rFonts w:hint="cs"/>
          <w:b/>
          <w:bCs/>
          <w:rtl/>
        </w:rPr>
        <w:t>פלוסקוב</w:t>
      </w:r>
      <w:proofErr w:type="spellEnd"/>
      <w:r w:rsidRPr="00996925">
        <w:rPr>
          <w:rFonts w:hint="cs"/>
          <w:b/>
          <w:bCs/>
          <w:rtl/>
        </w:rPr>
        <w:br/>
      </w:r>
      <w:r w:rsidRPr="00996925">
        <w:rPr>
          <w:rFonts w:hint="cs"/>
          <w:b/>
          <w:bCs/>
          <w:rtl/>
        </w:rPr>
        <w:tab/>
        <w:t xml:space="preserve"> </w:t>
      </w:r>
      <w:r w:rsidRPr="00996925">
        <w:rPr>
          <w:b/>
          <w:bCs/>
        </w:rPr>
        <w:tab/>
      </w:r>
      <w:r w:rsidRPr="00996925">
        <w:rPr>
          <w:b/>
          <w:bCs/>
        </w:rPr>
        <w:tab/>
      </w:r>
      <w:r w:rsidRPr="00996925">
        <w:rPr>
          <w:b/>
          <w:bCs/>
        </w:rPr>
        <w:tab/>
      </w:r>
      <w:r w:rsidRPr="00996925">
        <w:rPr>
          <w:b/>
          <w:bCs/>
        </w:rPr>
        <w:tab/>
      </w:r>
      <w:r w:rsidRPr="00996925">
        <w:rPr>
          <w:rFonts w:hint="cs"/>
          <w:b/>
          <w:bCs/>
          <w:rtl/>
        </w:rPr>
        <w:t>יצחק</w:t>
      </w:r>
      <w:r w:rsidR="00D05094">
        <w:rPr>
          <w:rFonts w:hint="cs"/>
          <w:b/>
          <w:bCs/>
          <w:rtl/>
        </w:rPr>
        <w:t xml:space="preserve"> וקנין</w:t>
      </w:r>
      <w:r w:rsidRPr="00996925">
        <w:rPr>
          <w:rFonts w:hint="cs"/>
          <w:b/>
          <w:bCs/>
          <w:rtl/>
        </w:rPr>
        <w:br/>
      </w:r>
      <w:r w:rsidRPr="00996925">
        <w:rPr>
          <w:rFonts w:hint="cs"/>
          <w:b/>
          <w:bCs/>
          <w:rtl/>
        </w:rPr>
        <w:tab/>
        <w:t xml:space="preserve"> </w:t>
      </w:r>
      <w:r w:rsidRPr="00996925">
        <w:rPr>
          <w:b/>
          <w:bCs/>
        </w:rPr>
        <w:tab/>
      </w:r>
      <w:r w:rsidRPr="00996925">
        <w:rPr>
          <w:b/>
          <w:bCs/>
        </w:rPr>
        <w:tab/>
      </w:r>
      <w:r w:rsidRPr="00996925">
        <w:rPr>
          <w:b/>
          <w:bCs/>
        </w:rPr>
        <w:tab/>
      </w:r>
      <w:r w:rsidRPr="00996925">
        <w:rPr>
          <w:b/>
          <w:bCs/>
        </w:rPr>
        <w:tab/>
      </w:r>
      <w:r w:rsidRPr="00996925">
        <w:rPr>
          <w:rFonts w:hint="cs"/>
          <w:b/>
          <w:bCs/>
          <w:rtl/>
        </w:rPr>
        <w:t>יוסי יונה</w:t>
      </w:r>
    </w:p>
    <w:p w14:paraId="02F354EF" w14:textId="5E4DBF5E" w:rsidR="000E47D9" w:rsidRDefault="000E47D9" w:rsidP="00D05094">
      <w:pPr>
        <w:pStyle w:val="David"/>
        <w:spacing w:line="360" w:lineRule="auto"/>
        <w:ind w:left="2880" w:firstLine="720"/>
        <w:rPr>
          <w:b/>
          <w:bCs/>
          <w:rtl/>
        </w:rPr>
      </w:pPr>
      <w:r>
        <w:rPr>
          <w:rFonts w:hint="cs"/>
          <w:noProof/>
          <w:rtl/>
          <w:lang w:eastAsia="en-US"/>
        </w:rPr>
        <mc:AlternateContent>
          <mc:Choice Requires="wps">
            <w:drawing>
              <wp:anchor distT="0" distB="0" distL="114300" distR="114300" simplePos="0" relativeHeight="251660288" behindDoc="0" locked="0" layoutInCell="1" allowOverlap="1" wp14:anchorId="079476C7" wp14:editId="781AD6FE">
                <wp:simplePos x="0" y="0"/>
                <wp:positionH relativeFrom="column">
                  <wp:posOffset>43815</wp:posOffset>
                </wp:positionH>
                <wp:positionV relativeFrom="paragraph">
                  <wp:posOffset>198120</wp:posOffset>
                </wp:positionV>
                <wp:extent cx="3810000" cy="0"/>
                <wp:effectExtent l="0" t="0" r="0" b="0"/>
                <wp:wrapNone/>
                <wp:docPr id="2" name="מחבר ישר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54A7C6" id="מחבר ישר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5.6pt" to="303.4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"/>
            </w:pict>
          </mc:Fallback>
        </mc:AlternateContent>
      </w:r>
      <w:r>
        <w:rPr>
          <w:b/>
          <w:bCs/>
          <w:rtl/>
        </w:rPr>
        <w:tab/>
      </w:r>
      <w:r>
        <w:rPr>
          <w:b/>
          <w:bCs/>
          <w:rtl/>
        </w:rPr>
        <w:tab/>
      </w:r>
    </w:p>
    <w:p w14:paraId="39F1A4A3" w14:textId="4E042702" w:rsidR="00F76794" w:rsidRPr="00D05094" w:rsidRDefault="00F76794" w:rsidP="000E47D9">
      <w:pPr>
        <w:pStyle w:val="David"/>
        <w:spacing w:line="360" w:lineRule="auto"/>
        <w:ind w:left="2880" w:firstLine="720"/>
      </w:pPr>
      <w:r w:rsidRPr="00D05094">
        <w:rPr>
          <w:rFonts w:hint="cs"/>
          <w:rtl/>
        </w:rPr>
        <w:t>מצטרפ</w:t>
      </w:r>
      <w:r w:rsidR="00D05094">
        <w:rPr>
          <w:rFonts w:hint="cs"/>
          <w:rtl/>
        </w:rPr>
        <w:t>ת</w:t>
      </w:r>
      <w:r w:rsidRPr="00D05094">
        <w:rPr>
          <w:rFonts w:hint="cs"/>
          <w:rtl/>
        </w:rPr>
        <w:t>: חברת הכנסת        איילת נחמיאס ורבין</w:t>
      </w:r>
    </w:p>
    <w:bookmarkEnd w:id="5"/>
    <w:p w14:paraId="416A3454" w14:textId="3BCA2B42" w:rsidR="00F76794" w:rsidRDefault="00F76794" w:rsidP="000E47D9">
      <w:pPr>
        <w:ind w:left="2880" w:firstLine="720"/>
        <w:rPr>
          <w:rFonts w:cs="David"/>
          <w:sz w:val="26"/>
          <w:szCs w:val="26"/>
          <w:rtl/>
        </w:rPr>
      </w:pPr>
      <w:r>
        <w:rPr>
          <w:rFonts w:cs="David"/>
          <w:sz w:val="26"/>
          <w:szCs w:val="26"/>
        </w:rPr>
        <w:tab/>
      </w:r>
      <w:r>
        <w:rPr>
          <w:rFonts w:cs="David"/>
          <w:sz w:val="26"/>
          <w:szCs w:val="26"/>
        </w:rPr>
        <w:tab/>
      </w:r>
      <w:r>
        <w:rPr>
          <w:rFonts w:cs="David"/>
          <w:sz w:val="26"/>
          <w:szCs w:val="26"/>
        </w:rPr>
        <w:tab/>
      </w:r>
      <w:bookmarkStart w:id="6" w:name="MKs1"/>
      <w:bookmarkEnd w:id="6"/>
      <w:r>
        <w:rPr>
          <w:rFonts w:cs="David"/>
          <w:sz w:val="26"/>
          <w:szCs w:val="26"/>
        </w:rPr>
        <w:tab/>
      </w:r>
      <w:r w:rsidR="000E47D9">
        <w:rPr>
          <w:rFonts w:cs="David" w:hint="cs"/>
          <w:sz w:val="26"/>
          <w:szCs w:val="26"/>
          <w:rtl/>
        </w:rPr>
        <w:t>פ/</w:t>
      </w:r>
      <w:r w:rsidR="008D6F72">
        <w:rPr>
          <w:rFonts w:cs="David" w:hint="cs"/>
          <w:sz w:val="26"/>
          <w:szCs w:val="26"/>
          <w:rtl/>
        </w:rPr>
        <w:t>1658/20</w:t>
      </w:r>
      <w:r>
        <w:rPr>
          <w:rFonts w:cs="David" w:hint="cs"/>
          <w:sz w:val="26"/>
          <w:szCs w:val="26"/>
          <w:rtl/>
        </w:rPr>
        <w:tab/>
      </w:r>
      <w:r>
        <w:rPr>
          <w:rFonts w:cs="David" w:hint="cs"/>
          <w:sz w:val="26"/>
          <w:szCs w:val="26"/>
          <w:rtl/>
        </w:rPr>
        <w:tab/>
      </w:r>
      <w:r>
        <w:rPr>
          <w:rFonts w:cs="David" w:hint="cs"/>
          <w:sz w:val="26"/>
          <w:szCs w:val="26"/>
          <w:rtl/>
        </w:rPr>
        <w:tab/>
      </w:r>
      <w:r>
        <w:rPr>
          <w:rFonts w:cs="David" w:hint="cs"/>
          <w:noProof/>
          <w:sz w:val="26"/>
          <w:szCs w:val="26"/>
          <w:rtl/>
          <w:lang w:eastAsia="en-US"/>
        </w:rPr>
        <mc:AlternateContent>
          <mc:Choice Requires="wps">
            <w:drawing>
              <wp:anchor distT="0" distB="0" distL="114300" distR="114300" simplePos="0" relativeHeight="251650048" behindDoc="0" locked="0" layoutInCell="1" allowOverlap="1" wp14:anchorId="57115B6F" wp14:editId="19CC48B8">
                <wp:simplePos x="0" y="0"/>
                <wp:positionH relativeFrom="column">
                  <wp:posOffset>1270</wp:posOffset>
                </wp:positionH>
                <wp:positionV relativeFrom="paragraph">
                  <wp:posOffset>64770</wp:posOffset>
                </wp:positionV>
                <wp:extent cx="3810000" cy="0"/>
                <wp:effectExtent l="0" t="0" r="0" b="0"/>
                <wp:wrapNone/>
                <wp:docPr id="1" name="מחבר ישר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2AF6D1" id="מחבר ישר 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5.1pt" to="300.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"/>
            </w:pict>
          </mc:Fallback>
        </mc:AlternateContent>
      </w:r>
      <w:r w:rsidR="000E47D9">
        <w:rPr>
          <w:rFonts w:cs="David"/>
          <w:sz w:val="26"/>
          <w:szCs w:val="26"/>
          <w:rtl/>
        </w:rPr>
        <w:tab/>
      </w:r>
      <w:r w:rsidR="000E47D9">
        <w:rPr>
          <w:rFonts w:cs="David"/>
          <w:sz w:val="26"/>
          <w:szCs w:val="26"/>
          <w:rtl/>
        </w:rPr>
        <w:tab/>
      </w:r>
      <w:r w:rsidR="000E47D9">
        <w:rPr>
          <w:rFonts w:cs="David"/>
          <w:sz w:val="26"/>
          <w:szCs w:val="26"/>
          <w:rtl/>
        </w:rPr>
        <w:tab/>
      </w:r>
      <w:r>
        <w:rPr>
          <w:rFonts w:cs="David" w:hint="cs"/>
          <w:sz w:val="26"/>
          <w:szCs w:val="26"/>
          <w:rtl/>
        </w:rPr>
        <w:tab/>
      </w:r>
      <w:r>
        <w:rPr>
          <w:rFonts w:cs="David" w:hint="cs"/>
          <w:sz w:val="26"/>
          <w:szCs w:val="26"/>
          <w:rtl/>
        </w:rPr>
        <w:tab/>
      </w:r>
      <w:r>
        <w:rPr>
          <w:rFonts w:cs="David" w:hint="cs"/>
          <w:sz w:val="26"/>
          <w:szCs w:val="26"/>
          <w:rtl/>
        </w:rPr>
        <w:tab/>
      </w:r>
      <w:r>
        <w:rPr>
          <w:rFonts w:cs="David" w:hint="cs"/>
          <w:sz w:val="26"/>
          <w:szCs w:val="26"/>
          <w:rtl/>
        </w:rPr>
        <w:tab/>
      </w:r>
      <w:r>
        <w:rPr>
          <w:rFonts w:cs="David" w:hint="cs"/>
          <w:sz w:val="26"/>
          <w:szCs w:val="26"/>
          <w:rtl/>
        </w:rPr>
        <w:tab/>
      </w:r>
    </w:p>
    <w:p w14:paraId="124FC658" w14:textId="77777777" w:rsidR="000E47D9" w:rsidRDefault="000E47D9" w:rsidP="00F76794">
      <w:pPr>
        <w:ind w:left="2919" w:firstLine="720"/>
        <w:rPr>
          <w:rFonts w:cs="David"/>
          <w:sz w:val="26"/>
          <w:szCs w:val="26"/>
          <w:rtl/>
        </w:rPr>
      </w:pPr>
    </w:p>
    <w:p w14:paraId="47BC9B64" w14:textId="4EA4E850" w:rsidR="00F76794" w:rsidRDefault="00F76794" w:rsidP="006D6BC4">
      <w:pPr>
        <w:pStyle w:val="HeadHatzaotHok"/>
        <w:tabs>
          <w:tab w:val="left" w:pos="4071"/>
          <w:tab w:val="center" w:pos="4819"/>
        </w:tabs>
        <w:spacing w:before="0"/>
        <w:rPr>
          <w:sz w:val="26"/>
          <w:rtl/>
        </w:rPr>
      </w:pPr>
      <w:bookmarkStart w:id="7" w:name="Title"/>
      <w:r w:rsidRPr="00C125C4">
        <w:rPr>
          <w:sz w:val="26"/>
          <w:rtl/>
        </w:rPr>
        <w:t xml:space="preserve">הצעת חוק </w:t>
      </w:r>
      <w:r w:rsidRPr="00DB7B3C">
        <w:rPr>
          <w:sz w:val="26"/>
          <w:rtl/>
        </w:rPr>
        <w:t>ה</w:t>
      </w:r>
      <w:r w:rsidRPr="00DB7B3C">
        <w:rPr>
          <w:rFonts w:hint="cs"/>
          <w:sz w:val="26"/>
          <w:rtl/>
        </w:rPr>
        <w:t>רשות השני</w:t>
      </w:r>
      <w:r w:rsidR="00813995">
        <w:rPr>
          <w:rFonts w:hint="cs"/>
          <w:sz w:val="26"/>
          <w:rtl/>
        </w:rPr>
        <w:t>י</w:t>
      </w:r>
      <w:r w:rsidRPr="00DB7B3C">
        <w:rPr>
          <w:rFonts w:hint="cs"/>
          <w:sz w:val="26"/>
          <w:rtl/>
        </w:rPr>
        <w:t>ה לטלוויזיה ורדיו</w:t>
      </w:r>
      <w:r>
        <w:rPr>
          <w:rFonts w:hint="cs"/>
          <w:sz w:val="26"/>
          <w:rtl/>
        </w:rPr>
        <w:t xml:space="preserve"> (</w:t>
      </w:r>
      <w:r w:rsidR="006D6BC4">
        <w:rPr>
          <w:rFonts w:hint="cs"/>
          <w:sz w:val="26"/>
          <w:rtl/>
        </w:rPr>
        <w:t xml:space="preserve">תיקון </w:t>
      </w:r>
      <w:r w:rsidR="006D6BC4">
        <w:rPr>
          <w:rFonts w:hint="eastAsia"/>
          <w:sz w:val="26"/>
          <w:rtl/>
        </w:rPr>
        <w:t>–</w:t>
      </w:r>
      <w:r w:rsidR="006D6BC4">
        <w:rPr>
          <w:rFonts w:hint="cs"/>
          <w:sz w:val="26"/>
          <w:rtl/>
        </w:rPr>
        <w:t xml:space="preserve"> </w:t>
      </w:r>
      <w:r>
        <w:rPr>
          <w:rFonts w:hint="cs"/>
          <w:sz w:val="26"/>
          <w:rtl/>
        </w:rPr>
        <w:t>פיצול שידורים של בעל זיכיון לשידורי רדיו)</w:t>
      </w:r>
      <w:r>
        <w:rPr>
          <w:sz w:val="26"/>
          <w:rtl/>
        </w:rPr>
        <w:t>, התשע</w:t>
      </w:r>
      <w:r>
        <w:rPr>
          <w:rFonts w:hint="cs"/>
          <w:sz w:val="26"/>
          <w:rtl/>
        </w:rPr>
        <w:t>"ה–</w:t>
      </w:r>
      <w:r w:rsidRPr="00C125C4">
        <w:rPr>
          <w:sz w:val="26"/>
          <w:rtl/>
        </w:rPr>
        <w:t>201</w:t>
      </w:r>
      <w:bookmarkEnd w:id="7"/>
      <w:r>
        <w:rPr>
          <w:rFonts w:hint="cs"/>
          <w:sz w:val="26"/>
          <w:rtl/>
        </w:rPr>
        <w:t>5</w:t>
      </w: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522"/>
      </w:tblGrid>
      <w:tr w:rsidR="00F76794" w14:paraId="511822B9" w14:textId="77777777" w:rsidTr="00340AD1">
        <w:trPr>
          <w:cantSplit/>
          <w:trHeight w:val="1071"/>
        </w:trPr>
        <w:tc>
          <w:tcPr>
            <w:tcW w:w="1871" w:type="dxa"/>
          </w:tcPr>
          <w:p w14:paraId="29A21CA1" w14:textId="3BD368BA" w:rsidR="00F76794" w:rsidRDefault="00F76794" w:rsidP="00340AD1">
            <w:pPr>
              <w:pStyle w:val="TableSideHeading"/>
              <w:keepLines w:val="0"/>
            </w:pPr>
            <w:r>
              <w:rPr>
                <w:rFonts w:hint="cs"/>
                <w:rtl/>
              </w:rPr>
              <w:t>תיקון סעיף 72א</w:t>
            </w:r>
          </w:p>
        </w:tc>
        <w:tc>
          <w:tcPr>
            <w:tcW w:w="624" w:type="dxa"/>
          </w:tcPr>
          <w:p w14:paraId="4B310309" w14:textId="585CECC3" w:rsidR="00F76794" w:rsidRDefault="00AE206D" w:rsidP="00340AD1">
            <w:pPr>
              <w:pStyle w:val="TableText"/>
              <w:keepLines w:val="0"/>
            </w:pPr>
            <w:r>
              <w:rPr>
                <w:rFonts w:hint="cs"/>
                <w:rtl/>
              </w:rPr>
              <w:t>1.</w:t>
            </w:r>
          </w:p>
        </w:tc>
        <w:tc>
          <w:tcPr>
            <w:tcW w:w="7146" w:type="dxa"/>
            <w:gridSpan w:val="2"/>
          </w:tcPr>
          <w:p w14:paraId="726613F2" w14:textId="7B473876" w:rsidR="00F76794" w:rsidRPr="00C34DE2" w:rsidRDefault="00F76794" w:rsidP="00813995">
            <w:pPr>
              <w:pStyle w:val="TableBlock"/>
              <w:keepLines w:val="0"/>
            </w:pPr>
            <w:r>
              <w:rPr>
                <w:rFonts w:hint="cs"/>
                <w:rtl/>
              </w:rPr>
              <w:t>בחוק הרשות השני</w:t>
            </w:r>
            <w:r w:rsidR="00813995">
              <w:rPr>
                <w:rFonts w:hint="cs"/>
                <w:rtl/>
              </w:rPr>
              <w:t>י</w:t>
            </w:r>
            <w:r>
              <w:rPr>
                <w:rFonts w:hint="cs"/>
                <w:rtl/>
              </w:rPr>
              <w:t xml:space="preserve">ה לטלוויזיה ורדיו, </w:t>
            </w:r>
            <w:proofErr w:type="spellStart"/>
            <w:r w:rsidR="00AE206D">
              <w:rPr>
                <w:rFonts w:hint="cs"/>
                <w:rtl/>
              </w:rPr>
              <w:t>ה</w:t>
            </w:r>
            <w:r>
              <w:rPr>
                <w:rFonts w:hint="cs"/>
                <w:rtl/>
              </w:rPr>
              <w:t>תש"ן</w:t>
            </w:r>
            <w:proofErr w:type="spellEnd"/>
            <w:r>
              <w:rPr>
                <w:rtl/>
              </w:rPr>
              <w:t>–</w:t>
            </w:r>
            <w:r>
              <w:rPr>
                <w:rFonts w:hint="cs"/>
                <w:rtl/>
              </w:rPr>
              <w:t>1990</w:t>
            </w:r>
            <w:r>
              <w:rPr>
                <w:rStyle w:val="a5"/>
                <w:rtl/>
              </w:rPr>
              <w:footnoteReference w:id="2"/>
            </w:r>
            <w:r>
              <w:rPr>
                <w:rFonts w:hint="cs"/>
                <w:rtl/>
              </w:rPr>
              <w:t xml:space="preserve">  (להלן</w:t>
            </w:r>
            <w:r>
              <w:t xml:space="preserve"> </w:t>
            </w:r>
            <w:r w:rsidR="00E61F29">
              <w:rPr>
                <w:rFonts w:hint="eastAsia"/>
                <w:rtl/>
              </w:rPr>
              <w:t xml:space="preserve">– </w:t>
            </w:r>
            <w:r>
              <w:rPr>
                <w:rFonts w:hint="cs"/>
                <w:rtl/>
              </w:rPr>
              <w:t>החוק</w:t>
            </w:r>
            <w:r w:rsidR="00E61F29">
              <w:rPr>
                <w:rFonts w:hint="cs"/>
                <w:rtl/>
              </w:rPr>
              <w:t xml:space="preserve"> העיקרי</w:t>
            </w:r>
            <w:r>
              <w:rPr>
                <w:rFonts w:hint="cs"/>
                <w:rtl/>
              </w:rPr>
              <w:t>)</w:t>
            </w:r>
            <w:r w:rsidR="00E61F29">
              <w:rPr>
                <w:rFonts w:hint="cs"/>
                <w:rtl/>
              </w:rPr>
              <w:t xml:space="preserve">, </w:t>
            </w:r>
            <w:r>
              <w:rPr>
                <w:rFonts w:hint="cs"/>
                <w:rtl/>
              </w:rPr>
              <w:t>בסעיף 72א, אחרי סעיף קטן (ג) יבוא</w:t>
            </w:r>
            <w:r w:rsidR="00813995">
              <w:rPr>
                <w:rFonts w:hint="cs"/>
                <w:rtl/>
              </w:rPr>
              <w:t>:</w:t>
            </w:r>
            <w:r>
              <w:rPr>
                <w:rFonts w:hint="cs"/>
                <w:rtl/>
              </w:rPr>
              <w:t xml:space="preserve"> </w:t>
            </w:r>
          </w:p>
        </w:tc>
      </w:tr>
      <w:tr w:rsidR="00996925" w14:paraId="2BCA06AD" w14:textId="77777777">
        <w:trPr>
          <w:cantSplit/>
          <w:trHeight w:val="60"/>
        </w:trPr>
        <w:tc>
          <w:tcPr>
            <w:tcW w:w="1871" w:type="dxa"/>
          </w:tcPr>
          <w:p w14:paraId="59168988" w14:textId="77777777" w:rsidR="00996925" w:rsidRDefault="00996925">
            <w:pPr>
              <w:pStyle w:val="TableSideHeading"/>
            </w:pPr>
          </w:p>
        </w:tc>
        <w:tc>
          <w:tcPr>
            <w:tcW w:w="624" w:type="dxa"/>
          </w:tcPr>
          <w:p w14:paraId="50A706D7" w14:textId="77777777" w:rsidR="00996925" w:rsidRDefault="00996925">
            <w:pPr>
              <w:pStyle w:val="TableText"/>
            </w:pPr>
          </w:p>
        </w:tc>
        <w:tc>
          <w:tcPr>
            <w:tcW w:w="624" w:type="dxa"/>
          </w:tcPr>
          <w:p w14:paraId="32BE372E" w14:textId="39BAF228" w:rsidR="00996925" w:rsidRDefault="00996925">
            <w:pPr>
              <w:pStyle w:val="TableText"/>
            </w:pPr>
            <w:r>
              <w:rPr>
                <w:rFonts w:hint="cs"/>
                <w:rtl/>
              </w:rPr>
              <w:t>"(ד)</w:t>
            </w:r>
          </w:p>
        </w:tc>
        <w:tc>
          <w:tcPr>
            <w:tcW w:w="6522" w:type="dxa"/>
          </w:tcPr>
          <w:p w14:paraId="4657A7B8" w14:textId="1FA86403" w:rsidR="00996925" w:rsidRDefault="00996925" w:rsidP="00BA0DAB">
            <w:pPr>
              <w:pStyle w:val="TableBlock"/>
              <w:keepLines w:val="0"/>
            </w:pPr>
            <w:r>
              <w:rPr>
                <w:rFonts w:hint="cs"/>
                <w:rtl/>
              </w:rPr>
              <w:t xml:space="preserve">(1) </w:t>
            </w:r>
            <w:r w:rsidR="008006B9">
              <w:rPr>
                <w:rtl/>
              </w:rPr>
              <w:tab/>
            </w:r>
            <w:r>
              <w:rPr>
                <w:rFonts w:hint="cs"/>
                <w:rtl/>
              </w:rPr>
              <w:t>על אף האמור ב</w:t>
            </w:r>
            <w:r w:rsidR="000F69A8">
              <w:rPr>
                <w:rFonts w:hint="cs"/>
                <w:rtl/>
              </w:rPr>
              <w:t>סעיף 72(א) וב</w:t>
            </w:r>
            <w:r>
              <w:rPr>
                <w:rFonts w:hint="cs"/>
                <w:rtl/>
              </w:rPr>
              <w:t>סעיף קטן (א)</w:t>
            </w:r>
            <w:r w:rsidR="00334ECB">
              <w:rPr>
                <w:rFonts w:hint="cs"/>
                <w:rtl/>
              </w:rPr>
              <w:t>,</w:t>
            </w:r>
            <w:r w:rsidR="00EE1B28">
              <w:rPr>
                <w:rFonts w:hint="cs"/>
                <w:rtl/>
              </w:rPr>
              <w:t xml:space="preserve"> </w:t>
            </w:r>
            <w:r>
              <w:rPr>
                <w:rFonts w:hint="cs"/>
                <w:rtl/>
              </w:rPr>
              <w:t>המועצה</w:t>
            </w:r>
            <w:r w:rsidR="00334ECB">
              <w:rPr>
                <w:rFonts w:hint="cs"/>
                <w:rtl/>
              </w:rPr>
              <w:t xml:space="preserve"> </w:t>
            </w:r>
            <w:r w:rsidR="00EE1B28">
              <w:rPr>
                <w:rFonts w:hint="cs"/>
                <w:rtl/>
              </w:rPr>
              <w:t xml:space="preserve">תאשר, </w:t>
            </w:r>
            <w:r w:rsidR="00EE1B28" w:rsidRPr="00EE1B28">
              <w:rPr>
                <w:rFonts w:hint="eastAsia"/>
                <w:rtl/>
              </w:rPr>
              <w:t>בהתאם</w:t>
            </w:r>
            <w:r w:rsidR="00EE1B28" w:rsidRPr="00EE1B28">
              <w:rPr>
                <w:rtl/>
              </w:rPr>
              <w:t xml:space="preserve"> </w:t>
            </w:r>
            <w:r w:rsidR="00EE1B28" w:rsidRPr="00EE1B28">
              <w:rPr>
                <w:rFonts w:hint="eastAsia"/>
                <w:rtl/>
              </w:rPr>
              <w:t>לכללים</w:t>
            </w:r>
            <w:r w:rsidR="00EE1B28" w:rsidRPr="00EE1B28">
              <w:rPr>
                <w:rtl/>
              </w:rPr>
              <w:t xml:space="preserve"> </w:t>
            </w:r>
            <w:r w:rsidR="00EE1B28" w:rsidRPr="00EE1B28">
              <w:rPr>
                <w:rFonts w:hint="eastAsia"/>
                <w:rtl/>
              </w:rPr>
              <w:t>שתיקבע</w:t>
            </w:r>
            <w:r w:rsidR="00EE1B28">
              <w:rPr>
                <w:rFonts w:hint="cs"/>
                <w:rtl/>
              </w:rPr>
              <w:t>,</w:t>
            </w:r>
            <w:r>
              <w:rPr>
                <w:rFonts w:hint="cs"/>
                <w:rtl/>
              </w:rPr>
              <w:t xml:space="preserve"> </w:t>
            </w:r>
            <w:r w:rsidR="00EE1B28">
              <w:rPr>
                <w:rFonts w:hint="cs"/>
                <w:rtl/>
              </w:rPr>
              <w:t>ל</w:t>
            </w:r>
            <w:r>
              <w:rPr>
                <w:rFonts w:hint="cs"/>
                <w:rtl/>
              </w:rPr>
              <w:t>בעל זיכיון לשידורי רדיו, אשר הוקצו לו מספר תדרים לצורך כיסוי אזור זיכיונו, לשדר תכנים שונים בתדרים השונים בחלק משעות היום (להלן</w:t>
            </w:r>
            <w:r w:rsidR="00BA0DAB">
              <w:rPr>
                <w:rFonts w:hint="cs"/>
                <w:rtl/>
              </w:rPr>
              <w:t xml:space="preserve"> </w:t>
            </w:r>
            <w:r w:rsidR="00334ECB">
              <w:rPr>
                <w:rFonts w:hint="eastAsia"/>
                <w:rtl/>
              </w:rPr>
              <w:t>–</w:t>
            </w:r>
            <w:r>
              <w:rPr>
                <w:rFonts w:hint="cs"/>
                <w:rtl/>
              </w:rPr>
              <w:t xml:space="preserve"> פיצול שידורים). </w:t>
            </w:r>
          </w:p>
        </w:tc>
      </w:tr>
      <w:tr w:rsidR="00996925" w14:paraId="0E9D1A81" w14:textId="77777777">
        <w:trPr>
          <w:cantSplit/>
          <w:trHeight w:val="60"/>
        </w:trPr>
        <w:tc>
          <w:tcPr>
            <w:tcW w:w="1871" w:type="dxa"/>
          </w:tcPr>
          <w:p w14:paraId="5EEC357B" w14:textId="77777777" w:rsidR="00996925" w:rsidRDefault="00996925">
            <w:pPr>
              <w:pStyle w:val="TableSideHeading"/>
              <w:rPr>
                <w:rtl/>
              </w:rPr>
            </w:pPr>
          </w:p>
        </w:tc>
        <w:tc>
          <w:tcPr>
            <w:tcW w:w="624" w:type="dxa"/>
          </w:tcPr>
          <w:p w14:paraId="26CCA6D2" w14:textId="77777777" w:rsidR="00996925" w:rsidRDefault="00996925" w:rsidP="00996925">
            <w:pPr>
              <w:pStyle w:val="TableText"/>
            </w:pPr>
          </w:p>
        </w:tc>
        <w:tc>
          <w:tcPr>
            <w:tcW w:w="624" w:type="dxa"/>
          </w:tcPr>
          <w:p w14:paraId="142898CA" w14:textId="77777777" w:rsidR="00996925" w:rsidRDefault="00996925">
            <w:pPr>
              <w:pStyle w:val="TableText"/>
            </w:pPr>
          </w:p>
        </w:tc>
        <w:tc>
          <w:tcPr>
            <w:tcW w:w="6522" w:type="dxa"/>
          </w:tcPr>
          <w:p w14:paraId="747A3055" w14:textId="65548CCE" w:rsidR="00996925" w:rsidRDefault="00996925" w:rsidP="00BA0DAB">
            <w:pPr>
              <w:pStyle w:val="TableBlock"/>
              <w:keepLines w:val="0"/>
              <w:rPr>
                <w:rtl/>
              </w:rPr>
            </w:pPr>
            <w:r>
              <w:rPr>
                <w:rFonts w:hint="cs"/>
                <w:rtl/>
              </w:rPr>
              <w:t xml:space="preserve">(2) </w:t>
            </w:r>
            <w:r w:rsidR="008006B9">
              <w:rPr>
                <w:rtl/>
              </w:rPr>
              <w:tab/>
            </w:r>
            <w:r>
              <w:rPr>
                <w:rFonts w:hint="cs"/>
                <w:rtl/>
              </w:rPr>
              <w:t>המועצה רשאית לאשר פיצול שידורים לבעל זיכיון לשידורי רדיו, אשר הוקצה לו תדר אח</w:t>
            </w:r>
            <w:r w:rsidR="00813995">
              <w:rPr>
                <w:rFonts w:hint="cs"/>
                <w:rtl/>
              </w:rPr>
              <w:t>ד בלבד לצורך כיסוי אזור זיכיונו</w:t>
            </w:r>
            <w:r>
              <w:rPr>
                <w:rFonts w:hint="cs"/>
                <w:rtl/>
              </w:rPr>
              <w:t xml:space="preserve"> </w:t>
            </w:r>
            <w:r w:rsidR="006A0956">
              <w:rPr>
                <w:rFonts w:hint="cs"/>
                <w:rtl/>
              </w:rPr>
              <w:t xml:space="preserve">אם </w:t>
            </w:r>
            <w:r>
              <w:rPr>
                <w:rFonts w:hint="cs"/>
                <w:rtl/>
              </w:rPr>
              <w:t xml:space="preserve">משרד התקשורת הקצה למטרה זו תדר נוסף לבעל הזיכיון, בהתאם לאפשרות </w:t>
            </w:r>
            <w:r w:rsidR="00BA0DAB">
              <w:rPr>
                <w:rFonts w:hint="cs"/>
                <w:rtl/>
              </w:rPr>
              <w:t xml:space="preserve">להקצאת </w:t>
            </w:r>
            <w:r>
              <w:rPr>
                <w:rFonts w:hint="cs"/>
                <w:rtl/>
              </w:rPr>
              <w:t>תדרים ולצורכי הציבור.</w:t>
            </w:r>
            <w:r w:rsidR="00813995">
              <w:rPr>
                <w:rFonts w:hint="cs"/>
                <w:rtl/>
              </w:rPr>
              <w:t>"</w:t>
            </w:r>
          </w:p>
        </w:tc>
      </w:tr>
      <w:tr w:rsidR="00F76794" w14:paraId="76AD799F" w14:textId="77777777" w:rsidTr="00340AD1">
        <w:trPr>
          <w:cantSplit/>
          <w:trHeight w:val="1071"/>
        </w:trPr>
        <w:tc>
          <w:tcPr>
            <w:tcW w:w="1871" w:type="dxa"/>
          </w:tcPr>
          <w:p w14:paraId="25F8FE22" w14:textId="77777777" w:rsidR="00F76794" w:rsidRDefault="00F76794" w:rsidP="00340AD1">
            <w:pPr>
              <w:pStyle w:val="TableSideHeading"/>
              <w:keepLines w:val="0"/>
            </w:pPr>
            <w:r>
              <w:rPr>
                <w:rFonts w:hint="cs"/>
                <w:rtl/>
              </w:rPr>
              <w:lastRenderedPageBreak/>
              <w:t>תיקון סעיף 110</w:t>
            </w:r>
          </w:p>
        </w:tc>
        <w:tc>
          <w:tcPr>
            <w:tcW w:w="624" w:type="dxa"/>
          </w:tcPr>
          <w:p w14:paraId="5C3A198B" w14:textId="78DABDC2" w:rsidR="00F76794" w:rsidRDefault="008006B9" w:rsidP="00340AD1">
            <w:pPr>
              <w:pStyle w:val="TableText"/>
              <w:keepLines w:val="0"/>
            </w:pPr>
            <w:r>
              <w:rPr>
                <w:rFonts w:hint="cs"/>
                <w:rtl/>
              </w:rPr>
              <w:t>2.</w:t>
            </w:r>
          </w:p>
        </w:tc>
        <w:tc>
          <w:tcPr>
            <w:tcW w:w="7146" w:type="dxa"/>
            <w:gridSpan w:val="2"/>
          </w:tcPr>
          <w:p w14:paraId="6E16AB10" w14:textId="2F666B16" w:rsidR="00F76794" w:rsidRPr="00C34DE2" w:rsidRDefault="00F76794" w:rsidP="00BA0DAB">
            <w:pPr>
              <w:pStyle w:val="TableBlock"/>
              <w:keepLines w:val="0"/>
            </w:pPr>
            <w:r>
              <w:rPr>
                <w:rFonts w:hint="cs"/>
                <w:rtl/>
              </w:rPr>
              <w:t>בסעיף 110 לחוק</w:t>
            </w:r>
            <w:r w:rsidR="008006B9">
              <w:rPr>
                <w:rFonts w:hint="cs"/>
                <w:rtl/>
              </w:rPr>
              <w:t xml:space="preserve"> העיקרי</w:t>
            </w:r>
            <w:r>
              <w:rPr>
                <w:rFonts w:hint="cs"/>
                <w:rtl/>
              </w:rPr>
              <w:t xml:space="preserve">, </w:t>
            </w:r>
            <w:r w:rsidR="001930DE">
              <w:rPr>
                <w:rFonts w:hint="cs"/>
                <w:rtl/>
              </w:rPr>
              <w:t>בסופו יבוא</w:t>
            </w:r>
            <w:r>
              <w:rPr>
                <w:rFonts w:hint="cs"/>
                <w:rtl/>
              </w:rPr>
              <w:t xml:space="preserve"> "לרבות פיצול שידורים, </w:t>
            </w:r>
            <w:r w:rsidR="001930DE">
              <w:rPr>
                <w:rFonts w:hint="cs"/>
                <w:rtl/>
              </w:rPr>
              <w:t>כאמור ב</w:t>
            </w:r>
            <w:r>
              <w:rPr>
                <w:rFonts w:hint="cs"/>
                <w:rtl/>
              </w:rPr>
              <w:t>סעיף 72א(ד)"</w:t>
            </w:r>
            <w:r w:rsidR="006D6BC4">
              <w:rPr>
                <w:rFonts w:hint="cs"/>
                <w:rtl/>
              </w:rPr>
              <w:t>.</w:t>
            </w:r>
          </w:p>
        </w:tc>
      </w:tr>
      <w:tr w:rsidR="00EE1B28" w14:paraId="0565934E" w14:textId="77777777" w:rsidTr="00340AD1">
        <w:trPr>
          <w:cantSplit/>
          <w:trHeight w:val="1071"/>
        </w:trPr>
        <w:tc>
          <w:tcPr>
            <w:tcW w:w="1871" w:type="dxa"/>
          </w:tcPr>
          <w:p w14:paraId="5FEAEFBE" w14:textId="3BD6CC5F" w:rsidR="00EE1B28" w:rsidRDefault="00EE1B28" w:rsidP="00340AD1">
            <w:pPr>
              <w:pStyle w:val="TableSideHeading"/>
              <w:keepLines w:val="0"/>
              <w:rPr>
                <w:rtl/>
              </w:rPr>
            </w:pPr>
            <w:r>
              <w:rPr>
                <w:rFonts w:hint="cs"/>
                <w:rtl/>
              </w:rPr>
              <w:t>כללים ראשונים</w:t>
            </w:r>
          </w:p>
        </w:tc>
        <w:tc>
          <w:tcPr>
            <w:tcW w:w="624" w:type="dxa"/>
          </w:tcPr>
          <w:p w14:paraId="52FC269C" w14:textId="3A6B3CC4" w:rsidR="00EE1B28" w:rsidRDefault="00EE1B28" w:rsidP="00BA0DAB">
            <w:pPr>
              <w:pStyle w:val="TableText"/>
              <w:rPr>
                <w:rtl/>
              </w:rPr>
            </w:pPr>
            <w:r>
              <w:rPr>
                <w:rFonts w:hint="cs"/>
                <w:rtl/>
              </w:rPr>
              <w:t>3.</w:t>
            </w:r>
          </w:p>
        </w:tc>
        <w:tc>
          <w:tcPr>
            <w:tcW w:w="7146" w:type="dxa"/>
            <w:gridSpan w:val="2"/>
          </w:tcPr>
          <w:p w14:paraId="2E621FAA" w14:textId="3AB498F4" w:rsidR="00EE1B28" w:rsidDel="008006B9" w:rsidRDefault="00EE1B28" w:rsidP="00BA0DAB">
            <w:pPr>
              <w:pStyle w:val="TableBlock"/>
              <w:keepLines w:val="0"/>
              <w:rPr>
                <w:rtl/>
              </w:rPr>
            </w:pPr>
            <w:r w:rsidRPr="00BA0DAB">
              <w:rPr>
                <w:rFonts w:hint="eastAsia"/>
                <w:rtl/>
              </w:rPr>
              <w:t>כללים</w:t>
            </w:r>
            <w:r w:rsidRPr="00BA0DAB">
              <w:rPr>
                <w:rtl/>
              </w:rPr>
              <w:t xml:space="preserve"> </w:t>
            </w:r>
            <w:r w:rsidRPr="00BA0DAB">
              <w:rPr>
                <w:rFonts w:hint="eastAsia"/>
                <w:rtl/>
              </w:rPr>
              <w:t>ראשונים</w:t>
            </w:r>
            <w:r w:rsidRPr="00BA0DAB">
              <w:rPr>
                <w:rtl/>
              </w:rPr>
              <w:t xml:space="preserve"> </w:t>
            </w:r>
            <w:r w:rsidRPr="00BA0DAB">
              <w:rPr>
                <w:rFonts w:hint="eastAsia"/>
                <w:rtl/>
              </w:rPr>
              <w:t>לפי</w:t>
            </w:r>
            <w:r w:rsidRPr="00BA0DAB">
              <w:rPr>
                <w:rtl/>
              </w:rPr>
              <w:t xml:space="preserve"> </w:t>
            </w:r>
            <w:r w:rsidRPr="00BA0DAB">
              <w:rPr>
                <w:rFonts w:hint="eastAsia"/>
                <w:rtl/>
              </w:rPr>
              <w:t>סעיף</w:t>
            </w:r>
            <w:r w:rsidRPr="00BA0DAB">
              <w:rPr>
                <w:rtl/>
              </w:rPr>
              <w:t xml:space="preserve"> </w:t>
            </w:r>
            <w:r w:rsidR="00E644E0" w:rsidRPr="00BA0DAB">
              <w:rPr>
                <w:rtl/>
              </w:rPr>
              <w:t xml:space="preserve">72א(ד)(1) לחוק העיקרי, כנוסחו בסעיף 1 לחוק זה, </w:t>
            </w:r>
            <w:r w:rsidR="00E644E0" w:rsidRPr="00BA0DAB">
              <w:rPr>
                <w:rFonts w:hint="eastAsia"/>
                <w:rtl/>
              </w:rPr>
              <w:t>ייקבעו</w:t>
            </w:r>
            <w:r w:rsidRPr="00BA0DAB">
              <w:rPr>
                <w:rtl/>
              </w:rPr>
              <w:t xml:space="preserve"> בתוך שישים </w:t>
            </w:r>
            <w:r w:rsidRPr="00BA0DAB">
              <w:rPr>
                <w:rFonts w:hint="eastAsia"/>
                <w:rtl/>
              </w:rPr>
              <w:t>ימים</w:t>
            </w:r>
            <w:r w:rsidRPr="00BA0DAB">
              <w:rPr>
                <w:rtl/>
              </w:rPr>
              <w:t xml:space="preserve"> </w:t>
            </w:r>
            <w:r w:rsidRPr="00BA0DAB">
              <w:rPr>
                <w:rFonts w:hint="eastAsia"/>
                <w:rtl/>
              </w:rPr>
              <w:t>מיום</w:t>
            </w:r>
            <w:r w:rsidRPr="00BA0DAB">
              <w:rPr>
                <w:rtl/>
              </w:rPr>
              <w:t xml:space="preserve"> </w:t>
            </w:r>
            <w:r w:rsidRPr="00BA0DAB">
              <w:rPr>
                <w:rFonts w:hint="eastAsia"/>
                <w:rtl/>
              </w:rPr>
              <w:t>תחילתו</w:t>
            </w:r>
            <w:r w:rsidRPr="00BA0DAB">
              <w:rPr>
                <w:rtl/>
              </w:rPr>
              <w:t xml:space="preserve"> </w:t>
            </w:r>
            <w:r w:rsidRPr="00BA0DAB">
              <w:rPr>
                <w:rFonts w:hint="eastAsia"/>
                <w:rtl/>
              </w:rPr>
              <w:t>של</w:t>
            </w:r>
            <w:r w:rsidRPr="00BA0DAB">
              <w:rPr>
                <w:rtl/>
              </w:rPr>
              <w:t xml:space="preserve"> </w:t>
            </w:r>
            <w:r w:rsidRPr="00BA0DAB">
              <w:rPr>
                <w:rFonts w:hint="eastAsia"/>
                <w:rtl/>
              </w:rPr>
              <w:t>חוק</w:t>
            </w:r>
            <w:r w:rsidRPr="00BA0DAB">
              <w:rPr>
                <w:rtl/>
              </w:rPr>
              <w:t xml:space="preserve"> </w:t>
            </w:r>
            <w:r w:rsidRPr="00BA0DAB">
              <w:rPr>
                <w:rFonts w:hint="eastAsia"/>
                <w:rtl/>
              </w:rPr>
              <w:t>זה</w:t>
            </w:r>
            <w:r w:rsidRPr="00BA0DAB">
              <w:rPr>
                <w:rtl/>
              </w:rPr>
              <w:t>.</w:t>
            </w:r>
          </w:p>
        </w:tc>
      </w:tr>
      <w:tr w:rsidR="001930DE" w14:paraId="58CBA011" w14:textId="77777777" w:rsidTr="00340AD1">
        <w:trPr>
          <w:cantSplit/>
          <w:trHeight w:val="1071"/>
        </w:trPr>
        <w:tc>
          <w:tcPr>
            <w:tcW w:w="1871" w:type="dxa"/>
          </w:tcPr>
          <w:p w14:paraId="5A8AF2BD" w14:textId="664E2928" w:rsidR="001930DE" w:rsidRDefault="001930DE" w:rsidP="00BA0DAB">
            <w:pPr>
              <w:pStyle w:val="TableSideHeading"/>
              <w:keepLines w:val="0"/>
              <w:rPr>
                <w:rtl/>
              </w:rPr>
            </w:pPr>
            <w:r>
              <w:rPr>
                <w:rFonts w:hint="cs"/>
                <w:rtl/>
              </w:rPr>
              <w:t xml:space="preserve">הוראת </w:t>
            </w:r>
            <w:r w:rsidR="00A45DEF">
              <w:rPr>
                <w:rFonts w:hint="cs"/>
                <w:rtl/>
              </w:rPr>
              <w:t>מעבר</w:t>
            </w:r>
          </w:p>
        </w:tc>
        <w:tc>
          <w:tcPr>
            <w:tcW w:w="624" w:type="dxa"/>
          </w:tcPr>
          <w:p w14:paraId="1F8F20FE" w14:textId="0B8D0658" w:rsidR="001930DE" w:rsidRDefault="00EE1B28" w:rsidP="00BA0DAB">
            <w:pPr>
              <w:pStyle w:val="TableText"/>
              <w:rPr>
                <w:rtl/>
              </w:rPr>
            </w:pPr>
            <w:r>
              <w:rPr>
                <w:rFonts w:hint="cs"/>
                <w:rtl/>
              </w:rPr>
              <w:t>4</w:t>
            </w:r>
            <w:r w:rsidR="00A45DEF">
              <w:rPr>
                <w:rFonts w:hint="cs"/>
                <w:rtl/>
              </w:rPr>
              <w:t>.</w:t>
            </w:r>
          </w:p>
        </w:tc>
        <w:tc>
          <w:tcPr>
            <w:tcW w:w="7146" w:type="dxa"/>
            <w:gridSpan w:val="2"/>
          </w:tcPr>
          <w:p w14:paraId="50F16C11" w14:textId="16562653" w:rsidR="001930DE" w:rsidRDefault="001930DE" w:rsidP="00BA0DAB">
            <w:pPr>
              <w:pStyle w:val="TableBlock"/>
              <w:keepLines w:val="0"/>
              <w:rPr>
                <w:rtl/>
              </w:rPr>
            </w:pPr>
            <w:r>
              <w:rPr>
                <w:rFonts w:hint="cs"/>
                <w:rtl/>
              </w:rPr>
              <w:t xml:space="preserve">בעל זיכיון לשידורי רדיו </w:t>
            </w:r>
            <w:r w:rsidR="00E34474">
              <w:rPr>
                <w:rFonts w:hint="cs"/>
                <w:rtl/>
              </w:rPr>
              <w:t>ש</w:t>
            </w:r>
            <w:r>
              <w:rPr>
                <w:rFonts w:hint="cs"/>
                <w:rtl/>
              </w:rPr>
              <w:t xml:space="preserve">המועצה אישרה </w:t>
            </w:r>
            <w:r w:rsidR="00E34474">
              <w:rPr>
                <w:rFonts w:hint="cs"/>
                <w:rtl/>
              </w:rPr>
              <w:t>את בקשתו</w:t>
            </w:r>
            <w:r>
              <w:rPr>
                <w:rFonts w:hint="cs"/>
                <w:rtl/>
              </w:rPr>
              <w:t xml:space="preserve"> </w:t>
            </w:r>
            <w:r w:rsidR="00E34474">
              <w:rPr>
                <w:rFonts w:hint="cs"/>
                <w:rtl/>
              </w:rPr>
              <w:t>ל</w:t>
            </w:r>
            <w:r>
              <w:rPr>
                <w:rFonts w:hint="cs"/>
                <w:rtl/>
              </w:rPr>
              <w:t xml:space="preserve">פיצול שידורים </w:t>
            </w:r>
            <w:r w:rsidR="002874A2">
              <w:rPr>
                <w:rFonts w:hint="cs"/>
                <w:rtl/>
              </w:rPr>
              <w:t>לפני</w:t>
            </w:r>
            <w:r>
              <w:rPr>
                <w:rFonts w:hint="cs"/>
                <w:rtl/>
              </w:rPr>
              <w:t xml:space="preserve"> תחילתו של חוק זה, רשאי להמשיך </w:t>
            </w:r>
            <w:r w:rsidR="00E34474">
              <w:rPr>
                <w:rFonts w:hint="cs"/>
                <w:rtl/>
              </w:rPr>
              <w:t>את השידורים</w:t>
            </w:r>
            <w:r>
              <w:rPr>
                <w:rFonts w:hint="cs"/>
                <w:rtl/>
              </w:rPr>
              <w:t xml:space="preserve"> </w:t>
            </w:r>
            <w:r w:rsidR="00E34474">
              <w:rPr>
                <w:rFonts w:hint="cs"/>
                <w:rtl/>
              </w:rPr>
              <w:t>ל</w:t>
            </w:r>
            <w:r>
              <w:rPr>
                <w:rFonts w:hint="cs"/>
                <w:rtl/>
              </w:rPr>
              <w:t>פי תנאי האישור, עד למועד קבלת אישור מעודכן</w:t>
            </w:r>
            <w:r w:rsidR="002874A2">
              <w:rPr>
                <w:rFonts w:hint="cs"/>
                <w:rtl/>
              </w:rPr>
              <w:t>,</w:t>
            </w:r>
            <w:r>
              <w:rPr>
                <w:rFonts w:hint="cs"/>
                <w:rtl/>
              </w:rPr>
              <w:t xml:space="preserve"> </w:t>
            </w:r>
            <w:r w:rsidR="00E34474" w:rsidRPr="002874A2">
              <w:rPr>
                <w:rFonts w:hint="eastAsia"/>
                <w:rtl/>
              </w:rPr>
              <w:t>לפי</w:t>
            </w:r>
            <w:r w:rsidR="00E34474" w:rsidRPr="002874A2">
              <w:rPr>
                <w:rtl/>
              </w:rPr>
              <w:t xml:space="preserve"> </w:t>
            </w:r>
            <w:r w:rsidR="002874A2" w:rsidRPr="0049338F">
              <w:rPr>
                <w:rFonts w:hint="cs"/>
                <w:rtl/>
              </w:rPr>
              <w:t>סעיף 72א(ד)(1) לחוק העיקרי, כנוסחו בסעיף 1 לחוק זה</w:t>
            </w:r>
            <w:r w:rsidR="002874A2">
              <w:rPr>
                <w:rFonts w:hint="cs"/>
                <w:rtl/>
              </w:rPr>
              <w:t>.</w:t>
            </w:r>
          </w:p>
        </w:tc>
      </w:tr>
    </w:tbl>
    <w:p w14:paraId="16F6C70E" w14:textId="77777777" w:rsidR="00E34474" w:rsidRDefault="00E34474" w:rsidP="00F76794">
      <w:pPr>
        <w:pStyle w:val="HeadDivreiHesber"/>
        <w:spacing w:before="0" w:after="0"/>
        <w:rPr>
          <w:rtl/>
        </w:rPr>
      </w:pPr>
    </w:p>
    <w:p w14:paraId="781FCFDB" w14:textId="77777777" w:rsidR="00F76794" w:rsidRDefault="00F76794" w:rsidP="00F76794">
      <w:pPr>
        <w:pStyle w:val="HeadDivreiHesber"/>
        <w:spacing w:before="0" w:after="0"/>
        <w:rPr>
          <w:rtl/>
        </w:rPr>
      </w:pPr>
      <w:r>
        <w:rPr>
          <w:rFonts w:hint="cs"/>
          <w:rtl/>
        </w:rPr>
        <w:t xml:space="preserve">דברי הסבר                                                                              </w:t>
      </w:r>
    </w:p>
    <w:p w14:paraId="7775F194" w14:textId="77AA980B" w:rsidR="00F76794" w:rsidRPr="00BA0DAB" w:rsidRDefault="00F76794" w:rsidP="00BA0DAB">
      <w:pPr>
        <w:pStyle w:val="Hesber"/>
        <w:rPr>
          <w:rtl/>
        </w:rPr>
      </w:pPr>
      <w:r w:rsidRPr="00BA0DAB">
        <w:rPr>
          <w:rtl/>
        </w:rPr>
        <w:t>בהתאם לחוק הרשות השני</w:t>
      </w:r>
      <w:r w:rsidR="00813995">
        <w:rPr>
          <w:rFonts w:hint="cs"/>
          <w:rtl/>
        </w:rPr>
        <w:t>י</w:t>
      </w:r>
      <w:r w:rsidRPr="00BA0DAB">
        <w:rPr>
          <w:rtl/>
        </w:rPr>
        <w:t>ה</w:t>
      </w:r>
      <w:r w:rsidR="002874A2">
        <w:rPr>
          <w:rFonts w:hint="cs"/>
          <w:rtl/>
        </w:rPr>
        <w:t xml:space="preserve"> לטלוויזיה ורדיו, </w:t>
      </w:r>
      <w:proofErr w:type="spellStart"/>
      <w:r w:rsidR="002874A2">
        <w:rPr>
          <w:rFonts w:hint="cs"/>
          <w:rtl/>
        </w:rPr>
        <w:t>התש"ן</w:t>
      </w:r>
      <w:proofErr w:type="spellEnd"/>
      <w:r w:rsidR="002874A2">
        <w:rPr>
          <w:rtl/>
        </w:rPr>
        <w:t>–</w:t>
      </w:r>
      <w:r w:rsidR="002874A2">
        <w:rPr>
          <w:rFonts w:hint="cs"/>
          <w:rtl/>
        </w:rPr>
        <w:t>1990</w:t>
      </w:r>
      <w:r w:rsidR="00B60362">
        <w:rPr>
          <w:rFonts w:hint="cs"/>
          <w:rtl/>
        </w:rPr>
        <w:t xml:space="preserve"> (להלן </w:t>
      </w:r>
      <w:r w:rsidR="00B60362">
        <w:rPr>
          <w:rtl/>
        </w:rPr>
        <w:t>–</w:t>
      </w:r>
      <w:r w:rsidR="00B60362">
        <w:rPr>
          <w:rFonts w:hint="cs"/>
          <w:rtl/>
        </w:rPr>
        <w:t xml:space="preserve"> החוק)</w:t>
      </w:r>
      <w:r w:rsidRPr="00BA0DAB">
        <w:rPr>
          <w:rtl/>
        </w:rPr>
        <w:t>, משדרות תחנות הרדיו האזוריות שידורי רדיו באזורי זיכיונן, על פי זיכיון שניתן להן בהליך מכרזי ועל גבי תדרים שהוקצו להן במסגרת המכרזים או לאחריהם, על ידי משרד התקשורת.</w:t>
      </w:r>
    </w:p>
    <w:p w14:paraId="02C19FB3" w14:textId="2BAD43FA" w:rsidR="00F76794" w:rsidRPr="00BA0DAB" w:rsidRDefault="00F76794" w:rsidP="00BA0DAB">
      <w:pPr>
        <w:pStyle w:val="Hesber"/>
        <w:rPr>
          <w:rtl/>
        </w:rPr>
      </w:pPr>
      <w:r w:rsidRPr="00BA0DAB">
        <w:rPr>
          <w:rtl/>
        </w:rPr>
        <w:t>במכרזים ובזיכיונות שניתנו מכוחם, נכללו תנאים לפיהם רשאית מועצת הרשות השני</w:t>
      </w:r>
      <w:r w:rsidR="00813995">
        <w:rPr>
          <w:rFonts w:hint="cs"/>
          <w:rtl/>
        </w:rPr>
        <w:t>י</w:t>
      </w:r>
      <w:r w:rsidRPr="00BA0DAB">
        <w:rPr>
          <w:rtl/>
        </w:rPr>
        <w:t>ה להתיר לתחנות רדיו שבאזורן הוקצה יותר מתדר אחד לצורך כיסוי אזור הזיכיון, לשדר תכנים שונים בתדרים השונים (להלן</w:t>
      </w:r>
      <w:r w:rsidR="00F6566F">
        <w:rPr>
          <w:rFonts w:hint="cs"/>
          <w:rtl/>
        </w:rPr>
        <w:t xml:space="preserve"> </w:t>
      </w:r>
      <w:r w:rsidR="00F6566F">
        <w:rPr>
          <w:rFonts w:hint="eastAsia"/>
          <w:rtl/>
        </w:rPr>
        <w:t>–</w:t>
      </w:r>
      <w:r w:rsidR="00F6566F" w:rsidRPr="00BA0DAB">
        <w:rPr>
          <w:rtl/>
        </w:rPr>
        <w:t xml:space="preserve"> </w:t>
      </w:r>
      <w:r w:rsidRPr="00BA0DAB">
        <w:rPr>
          <w:rtl/>
        </w:rPr>
        <w:t>שידורים מפוצלים), בכפוף לתנאים שקבעה המועצה.</w:t>
      </w:r>
    </w:p>
    <w:p w14:paraId="59183CEA" w14:textId="785DC946" w:rsidR="00F76794" w:rsidRPr="00BA0DAB" w:rsidRDefault="00F76794" w:rsidP="00BA0DAB">
      <w:pPr>
        <w:pStyle w:val="Hesber"/>
        <w:rPr>
          <w:rtl/>
        </w:rPr>
      </w:pPr>
      <w:r w:rsidRPr="00BA0DAB">
        <w:rPr>
          <w:rtl/>
        </w:rPr>
        <w:t>מזה שנים רבות, משדרות מקצת מתחנות הרדיו האזוריות, שהוקצה להן יותר מתדר אחד, ביוזמת מועצת הרשות השנ</w:t>
      </w:r>
      <w:r w:rsidR="00813995">
        <w:rPr>
          <w:rFonts w:hint="cs"/>
          <w:rtl/>
        </w:rPr>
        <w:t>י</w:t>
      </w:r>
      <w:r w:rsidRPr="00BA0DAB">
        <w:rPr>
          <w:rtl/>
        </w:rPr>
        <w:t>יה ו</w:t>
      </w:r>
      <w:r w:rsidR="00F6566F">
        <w:rPr>
          <w:rFonts w:hint="cs"/>
          <w:rtl/>
        </w:rPr>
        <w:t>ב</w:t>
      </w:r>
      <w:r w:rsidRPr="00BA0DAB">
        <w:rPr>
          <w:rtl/>
        </w:rPr>
        <w:t>עידודה, שידורים מפוצלים במקצת משעות היממה. ביתר שעות השידור משודרים תכנים אחידים, והכל בהתאם לאישור מועצת הרשות השנ</w:t>
      </w:r>
      <w:r w:rsidR="00813995">
        <w:rPr>
          <w:rFonts w:hint="cs"/>
          <w:rtl/>
        </w:rPr>
        <w:t>י</w:t>
      </w:r>
      <w:r w:rsidRPr="00BA0DAB">
        <w:rPr>
          <w:rtl/>
        </w:rPr>
        <w:t>יה</w:t>
      </w:r>
      <w:r w:rsidR="009034FA">
        <w:rPr>
          <w:rFonts w:hint="cs"/>
          <w:rtl/>
        </w:rPr>
        <w:t>,</w:t>
      </w:r>
      <w:r w:rsidRPr="00BA0DAB">
        <w:rPr>
          <w:rtl/>
        </w:rPr>
        <w:t xml:space="preserve"> שניתן אחת לשנה.</w:t>
      </w:r>
    </w:p>
    <w:p w14:paraId="11E5C144" w14:textId="74ECB0B2" w:rsidR="00F76794" w:rsidRPr="00BA0DAB" w:rsidRDefault="00F76794" w:rsidP="00BA0DAB">
      <w:pPr>
        <w:pStyle w:val="Hesber"/>
        <w:rPr>
          <w:rtl/>
        </w:rPr>
      </w:pPr>
      <w:r w:rsidRPr="00BA0DAB">
        <w:rPr>
          <w:rtl/>
        </w:rPr>
        <w:t>בעקבות שימוע שקיימה הרשות השני</w:t>
      </w:r>
      <w:r w:rsidR="00813995">
        <w:rPr>
          <w:rFonts w:hint="cs"/>
          <w:rtl/>
        </w:rPr>
        <w:t>י</w:t>
      </w:r>
      <w:r w:rsidR="00813995">
        <w:rPr>
          <w:rtl/>
        </w:rPr>
        <w:t xml:space="preserve">ה ועתירה לבג"ץ שהוגשה </w:t>
      </w:r>
      <w:r w:rsidRPr="00BA0DAB">
        <w:rPr>
          <w:rtl/>
        </w:rPr>
        <w:t>נגד מועצת הרשות השני</w:t>
      </w:r>
      <w:r w:rsidR="00813995">
        <w:rPr>
          <w:rFonts w:hint="cs"/>
          <w:rtl/>
        </w:rPr>
        <w:t>י</w:t>
      </w:r>
      <w:r w:rsidRPr="00BA0DAB">
        <w:rPr>
          <w:rtl/>
        </w:rPr>
        <w:t>ה, משרד התקשורת ומספר תחנות רדיו אזוריות שניתן להן היתר לפיצול שידורים, החליטה מועצת הרשות השנ</w:t>
      </w:r>
      <w:r w:rsidR="00813995">
        <w:rPr>
          <w:rFonts w:hint="cs"/>
          <w:rtl/>
        </w:rPr>
        <w:t>י</w:t>
      </w:r>
      <w:r w:rsidRPr="00BA0DAB">
        <w:rPr>
          <w:rtl/>
        </w:rPr>
        <w:t xml:space="preserve">יה בתאריך 19.1.2015 כי בשל היעדר סמכות מפורשת בחוק, לא יינתנו עוד היתרים לשידורים מפוצלים, ונקצבה תקופת מעבר בת שנתיים לבחינת ההסדרה של הנושא בחקיקה, במהלכה יורשו תחנות שזכו זה מכבר להיתר כאמור, להמשיך בשידוריהן. </w:t>
      </w:r>
    </w:p>
    <w:p w14:paraId="36341988" w14:textId="14823C46" w:rsidR="00F76794" w:rsidRPr="00BA0DAB" w:rsidRDefault="00F76794" w:rsidP="00BA0DAB">
      <w:pPr>
        <w:pStyle w:val="Hesber"/>
        <w:rPr>
          <w:rtl/>
        </w:rPr>
      </w:pPr>
      <w:r w:rsidRPr="00BA0DAB">
        <w:rPr>
          <w:rtl/>
        </w:rPr>
        <w:t>בפסק דין מיום 11.6.2015 נתן ב</w:t>
      </w:r>
      <w:r w:rsidRPr="009034FA">
        <w:rPr>
          <w:rFonts w:hint="cs"/>
          <w:rtl/>
        </w:rPr>
        <w:t xml:space="preserve">ג"ץ תוקף להחלטת מועצת </w:t>
      </w:r>
      <w:r w:rsidRPr="00BA0DAB">
        <w:rPr>
          <w:rtl/>
        </w:rPr>
        <w:t>הרשות השני</w:t>
      </w:r>
      <w:r w:rsidR="00813995">
        <w:rPr>
          <w:rFonts w:hint="cs"/>
          <w:rtl/>
        </w:rPr>
        <w:t>י</w:t>
      </w:r>
      <w:r w:rsidRPr="00BA0DAB">
        <w:rPr>
          <w:rtl/>
        </w:rPr>
        <w:t>ה, תוך שהוא מדגיש בפסק הדין  שתקופת המעבר בת השנתיים, תאפשר בין היתר הסדרה חקיקתית של הנושא</w:t>
      </w:r>
      <w:r w:rsidR="00F6566F">
        <w:rPr>
          <w:rFonts w:hint="cs"/>
          <w:rtl/>
        </w:rPr>
        <w:t xml:space="preserve"> (בגץ 3040/14 </w:t>
      </w:r>
      <w:r w:rsidR="00F6566F" w:rsidRPr="00813995">
        <w:rPr>
          <w:rFonts w:hint="cs"/>
          <w:b/>
          <w:bCs/>
          <w:rtl/>
        </w:rPr>
        <w:t>רדיו תשעים בע"מ נ' הרשות השנ</w:t>
      </w:r>
      <w:r w:rsidR="00813995">
        <w:rPr>
          <w:rFonts w:hint="cs"/>
          <w:b/>
          <w:bCs/>
          <w:rtl/>
        </w:rPr>
        <w:t>י</w:t>
      </w:r>
      <w:r w:rsidR="00F6566F" w:rsidRPr="00813995">
        <w:rPr>
          <w:rFonts w:hint="cs"/>
          <w:b/>
          <w:bCs/>
          <w:rtl/>
        </w:rPr>
        <w:t xml:space="preserve">יה </w:t>
      </w:r>
      <w:proofErr w:type="spellStart"/>
      <w:r w:rsidR="00F6566F" w:rsidRPr="00813995">
        <w:rPr>
          <w:rFonts w:hint="cs"/>
          <w:b/>
          <w:bCs/>
          <w:rtl/>
        </w:rPr>
        <w:t>לטלו</w:t>
      </w:r>
      <w:r w:rsidR="00BA0DAB" w:rsidRPr="00813995">
        <w:rPr>
          <w:rFonts w:hint="cs"/>
          <w:b/>
          <w:bCs/>
          <w:rtl/>
        </w:rPr>
        <w:t>וזיה</w:t>
      </w:r>
      <w:proofErr w:type="spellEnd"/>
      <w:r w:rsidR="00BA0DAB" w:rsidRPr="00813995">
        <w:rPr>
          <w:rFonts w:hint="cs"/>
          <w:b/>
          <w:bCs/>
          <w:rtl/>
        </w:rPr>
        <w:t xml:space="preserve"> ולרדיו</w:t>
      </w:r>
      <w:r w:rsidR="00BA0DAB">
        <w:rPr>
          <w:rFonts w:hint="cs"/>
          <w:rtl/>
        </w:rPr>
        <w:t>)</w:t>
      </w:r>
      <w:r w:rsidRPr="00BA0DAB">
        <w:rPr>
          <w:rtl/>
        </w:rPr>
        <w:t xml:space="preserve">. </w:t>
      </w:r>
    </w:p>
    <w:p w14:paraId="07C4495B" w14:textId="66F475B5" w:rsidR="00F76794" w:rsidRPr="00BA0DAB" w:rsidRDefault="00F76794" w:rsidP="00BA0DAB">
      <w:pPr>
        <w:pStyle w:val="Hesber"/>
        <w:rPr>
          <w:rtl/>
        </w:rPr>
      </w:pPr>
      <w:r w:rsidRPr="00BA0DAB">
        <w:rPr>
          <w:rtl/>
        </w:rPr>
        <w:t>בהתאם לעמדת בג"</w:t>
      </w:r>
      <w:r w:rsidRPr="009034FA">
        <w:rPr>
          <w:rFonts w:hint="cs"/>
          <w:rtl/>
        </w:rPr>
        <w:t>ץ, עמדת מועצת הרשות השני</w:t>
      </w:r>
      <w:r w:rsidR="00813995">
        <w:rPr>
          <w:rFonts w:hint="cs"/>
          <w:rtl/>
        </w:rPr>
        <w:t>י</w:t>
      </w:r>
      <w:r w:rsidRPr="009034FA">
        <w:rPr>
          <w:rFonts w:hint="cs"/>
          <w:rtl/>
        </w:rPr>
        <w:t>ה ועמדת המדינה, מוגשת הצעת חוק זו שנועדה</w:t>
      </w:r>
      <w:r w:rsidRPr="00BA0DAB">
        <w:rPr>
          <w:rtl/>
        </w:rPr>
        <w:t xml:space="preserve"> לעגן סמכות חוקית מפורשת למועצת הרשות השני</w:t>
      </w:r>
      <w:r w:rsidR="00813995">
        <w:rPr>
          <w:rFonts w:hint="cs"/>
          <w:rtl/>
        </w:rPr>
        <w:t>י</w:t>
      </w:r>
      <w:r w:rsidRPr="00BA0DAB">
        <w:rPr>
          <w:rtl/>
        </w:rPr>
        <w:t>ה להתיר שידורים מפוצלים באזור זיכיון</w:t>
      </w:r>
      <w:r w:rsidR="009034FA">
        <w:rPr>
          <w:rFonts w:hint="cs"/>
          <w:rtl/>
        </w:rPr>
        <w:t>,</w:t>
      </w:r>
      <w:r w:rsidRPr="00BA0DAB">
        <w:rPr>
          <w:rtl/>
        </w:rPr>
        <w:t xml:space="preserve"> שהוקצה יותר מתדר אחד לכיסויו.</w:t>
      </w:r>
    </w:p>
    <w:p w14:paraId="103EDE76" w14:textId="3287DE8C" w:rsidR="00F76794" w:rsidRPr="00BA0DAB" w:rsidRDefault="00F76794" w:rsidP="00BA0DAB">
      <w:pPr>
        <w:pStyle w:val="Hesber"/>
        <w:rPr>
          <w:rtl/>
        </w:rPr>
      </w:pPr>
      <w:r w:rsidRPr="00BA0DAB">
        <w:rPr>
          <w:rtl/>
        </w:rPr>
        <w:t>במשך השנים עודדה מועצת הרשות השני</w:t>
      </w:r>
      <w:r w:rsidR="00813995">
        <w:rPr>
          <w:rFonts w:hint="cs"/>
          <w:rtl/>
        </w:rPr>
        <w:t>י</w:t>
      </w:r>
      <w:r w:rsidRPr="00BA0DAB">
        <w:rPr>
          <w:rtl/>
        </w:rPr>
        <w:t>ה שידורים מפוצלים במקצת מאזורי הזיכיון, ככלי המאפשר מתן מענה לקהלים מוגדר</w:t>
      </w:r>
      <w:r w:rsidR="00813995">
        <w:rPr>
          <w:rtl/>
        </w:rPr>
        <w:t xml:space="preserve">ים ומבודלים בתוך אזור הזיכיון, </w:t>
      </w:r>
      <w:r w:rsidRPr="00BA0DAB">
        <w:rPr>
          <w:rtl/>
        </w:rPr>
        <w:t xml:space="preserve">דוגמת אוכלוסיית דוברי רוסית או תושבים בעלי צרכים ייחודיים באזור הדרום ובאזור חיפה. שידורים מפוצלים כאמור נמשכו שנים ארוכות, אושרו פעם אחר פעם על ידי מועצות והנהלות הרשות שהתחלפו במהלך שנים, לרבות לאחרונה, וזכו לתגובות חיוביות ושביעות רצון בקרב מאזיני האזורים </w:t>
      </w:r>
      <w:proofErr w:type="spellStart"/>
      <w:r w:rsidRPr="00BA0DAB">
        <w:rPr>
          <w:rtl/>
        </w:rPr>
        <w:t>הרלוונטים</w:t>
      </w:r>
      <w:proofErr w:type="spellEnd"/>
      <w:r w:rsidRPr="00BA0DAB">
        <w:rPr>
          <w:rtl/>
        </w:rPr>
        <w:t>.</w:t>
      </w:r>
    </w:p>
    <w:p w14:paraId="56E90366" w14:textId="61C6F7F1" w:rsidR="00F76794" w:rsidRPr="00BA0DAB" w:rsidRDefault="00F76794" w:rsidP="00813995">
      <w:pPr>
        <w:pStyle w:val="Hesber"/>
        <w:rPr>
          <w:rtl/>
        </w:rPr>
      </w:pPr>
      <w:r w:rsidRPr="00BA0DAB">
        <w:rPr>
          <w:rtl/>
        </w:rPr>
        <w:lastRenderedPageBreak/>
        <w:t xml:space="preserve">כלי זה של היתר לשידורים מפוצלים </w:t>
      </w:r>
      <w:r w:rsidR="00813995">
        <w:rPr>
          <w:rFonts w:hint="cs"/>
          <w:rtl/>
        </w:rPr>
        <w:t>הוא</w:t>
      </w:r>
      <w:r w:rsidRPr="00BA0DAB">
        <w:rPr>
          <w:rtl/>
        </w:rPr>
        <w:t xml:space="preserve"> אמצעי חשוב המאפשר לרשות השני</w:t>
      </w:r>
      <w:r w:rsidR="00813995">
        <w:rPr>
          <w:rFonts w:hint="cs"/>
          <w:rtl/>
        </w:rPr>
        <w:t>י</w:t>
      </w:r>
      <w:r w:rsidRPr="00BA0DAB">
        <w:rPr>
          <w:rtl/>
        </w:rPr>
        <w:t xml:space="preserve">ה לממש את מטרותיה בדבר מתן מענה תכני לקהלים מצומצמים ומוגדרים, אשר לא ניתן להם פתרון חלופי ואשר הענקת זיכיון ביחס לשידורים לקהלים אלו אינה בת היתכנות כלכלית או טכנית, בפרט בהתחשב בעובדה כי השימוש </w:t>
      </w:r>
      <w:r w:rsidR="00D374EE">
        <w:rPr>
          <w:rFonts w:hint="cs"/>
          <w:rtl/>
        </w:rPr>
        <w:t>בתדרי</w:t>
      </w:r>
      <w:r w:rsidR="00D374EE" w:rsidRPr="00BA0DAB">
        <w:rPr>
          <w:rtl/>
        </w:rPr>
        <w:t xml:space="preserve"> </w:t>
      </w:r>
      <w:r w:rsidRPr="00BA0DAB">
        <w:t>FM</w:t>
      </w:r>
      <w:r w:rsidRPr="00BA0DAB">
        <w:rPr>
          <w:rtl/>
        </w:rPr>
        <w:t xml:space="preserve"> הולך ופוחת בעולם כולו, ובנורבגיה אף הוכרזה לאחרונה הכוונה לחדול משידורי </w:t>
      </w:r>
      <w:r w:rsidRPr="00BA0DAB">
        <w:t>FM</w:t>
      </w:r>
      <w:r w:rsidRPr="00BA0DAB">
        <w:rPr>
          <w:rtl/>
        </w:rPr>
        <w:t xml:space="preserve">.  </w:t>
      </w:r>
    </w:p>
    <w:p w14:paraId="4434322D" w14:textId="6F6C976E" w:rsidR="00F76794" w:rsidRPr="00BA0DAB" w:rsidRDefault="00F76794" w:rsidP="00BA0DAB">
      <w:pPr>
        <w:pStyle w:val="Hesber"/>
        <w:rPr>
          <w:rtl/>
        </w:rPr>
      </w:pPr>
      <w:r w:rsidRPr="00BA0DAB">
        <w:rPr>
          <w:rtl/>
        </w:rPr>
        <w:t>השידורים המפוצלים גם נותנים מענה בשעת חירום, על ידי שימוש בתדר הנוסף כ"גל שקט" בשעות הלילה ובסופי שבוע</w:t>
      </w:r>
      <w:r w:rsidR="00D374EE">
        <w:rPr>
          <w:rFonts w:hint="cs"/>
          <w:rtl/>
        </w:rPr>
        <w:t>,</w:t>
      </w:r>
      <w:r w:rsidRPr="00BA0DAB">
        <w:rPr>
          <w:rtl/>
        </w:rPr>
        <w:t xml:space="preserve"> המשמש בשעת הצורך להשמעת אזעקות והעברת נתונים ומידע מפיקוד העורף. שימושים אלה הוכיחו עצמם כבעלי חשיבות עצומה לציבור המקומי כפי שהוכח בסבבי </w:t>
      </w:r>
      <w:proofErr w:type="spellStart"/>
      <w:r w:rsidRPr="00BA0DAB">
        <w:rPr>
          <w:rtl/>
        </w:rPr>
        <w:t>הארועים</w:t>
      </w:r>
      <w:proofErr w:type="spellEnd"/>
      <w:r w:rsidRPr="00BA0DAB">
        <w:rPr>
          <w:rtl/>
        </w:rPr>
        <w:t xml:space="preserve"> המבצעיים שהיו בשנים האחרונות מול רצועת עזה.</w:t>
      </w:r>
    </w:p>
    <w:p w14:paraId="3E1A77F0" w14:textId="33A2B31D" w:rsidR="00F76794" w:rsidRPr="00BA0DAB" w:rsidRDefault="00F76794" w:rsidP="00BA0DAB">
      <w:pPr>
        <w:pStyle w:val="Hesber"/>
        <w:rPr>
          <w:rtl/>
        </w:rPr>
      </w:pPr>
      <w:r w:rsidRPr="00BA0DAB">
        <w:rPr>
          <w:rtl/>
        </w:rPr>
        <w:t xml:space="preserve">סעיף 1 – מוצע לתקן את סעיף 72א לחוק באמצעות הוספת סעיף קטן </w:t>
      </w:r>
      <w:r w:rsidR="00D374EE">
        <w:rPr>
          <w:rFonts w:hint="cs"/>
          <w:rtl/>
        </w:rPr>
        <w:t xml:space="preserve">(ד) </w:t>
      </w:r>
      <w:r w:rsidRPr="00BA0DAB">
        <w:rPr>
          <w:rtl/>
        </w:rPr>
        <w:t>המקנה למועצת הרשות השני</w:t>
      </w:r>
      <w:r w:rsidR="00813995">
        <w:rPr>
          <w:rFonts w:hint="cs"/>
          <w:rtl/>
        </w:rPr>
        <w:t>י</w:t>
      </w:r>
      <w:r w:rsidRPr="00BA0DAB">
        <w:rPr>
          <w:rtl/>
        </w:rPr>
        <w:t>ה סמכות חוקית להתיר פיצול שידורים</w:t>
      </w:r>
      <w:r w:rsidR="00BA0DAB">
        <w:rPr>
          <w:rFonts w:hint="cs"/>
          <w:rtl/>
        </w:rPr>
        <w:t xml:space="preserve">, ולקבוע בו </w:t>
      </w:r>
      <w:r w:rsidRPr="00BA0DAB">
        <w:rPr>
          <w:rtl/>
        </w:rPr>
        <w:t>כי מועצת הרשות השני</w:t>
      </w:r>
      <w:r w:rsidR="00813995">
        <w:rPr>
          <w:rFonts w:hint="cs"/>
          <w:rtl/>
        </w:rPr>
        <w:t>י</w:t>
      </w:r>
      <w:r w:rsidRPr="00BA0DAB">
        <w:rPr>
          <w:rtl/>
        </w:rPr>
        <w:t xml:space="preserve">ה תתיר לבעל זיכיון לשידורי רדיו אזוריים אשר הוקצו באזורו יותר מתדר אחד לכיסוי האזור, לשדר שידורים מפוצלים, </w:t>
      </w:r>
      <w:r w:rsidR="00B60362">
        <w:rPr>
          <w:rFonts w:hint="cs"/>
          <w:rtl/>
        </w:rPr>
        <w:t>בהתאם לכללים שתיקבע</w:t>
      </w:r>
      <w:r w:rsidRPr="00BA0DAB">
        <w:rPr>
          <w:rtl/>
        </w:rPr>
        <w:t xml:space="preserve">. </w:t>
      </w:r>
    </w:p>
    <w:p w14:paraId="18780031" w14:textId="03BE2260" w:rsidR="00F76794" w:rsidRPr="00BA0DAB" w:rsidRDefault="00BA0DAB" w:rsidP="00BA0DAB">
      <w:pPr>
        <w:pStyle w:val="Hesber"/>
        <w:rPr>
          <w:rtl/>
        </w:rPr>
      </w:pPr>
      <w:r>
        <w:rPr>
          <w:rFonts w:hint="cs"/>
          <w:rtl/>
        </w:rPr>
        <w:t xml:space="preserve">פסקה </w:t>
      </w:r>
      <w:r w:rsidR="00F76794" w:rsidRPr="00BA0DAB">
        <w:rPr>
          <w:rtl/>
        </w:rPr>
        <w:t xml:space="preserve">(2) </w:t>
      </w:r>
      <w:r>
        <w:rPr>
          <w:rFonts w:hint="cs"/>
          <w:rtl/>
        </w:rPr>
        <w:t xml:space="preserve">באותו סעיף קטן </w:t>
      </w:r>
      <w:r w:rsidR="00F76794" w:rsidRPr="00BA0DAB">
        <w:rPr>
          <w:rtl/>
        </w:rPr>
        <w:t>נועד</w:t>
      </w:r>
      <w:r>
        <w:rPr>
          <w:rFonts w:hint="cs"/>
          <w:rtl/>
        </w:rPr>
        <w:t>ה</w:t>
      </w:r>
      <w:r w:rsidR="00F76794" w:rsidRPr="00BA0DAB">
        <w:rPr>
          <w:rtl/>
        </w:rPr>
        <w:t xml:space="preserve"> לסייע להבטחת השוויון בין תחנות הרדיו, באמצעות מתן סמכות למועצת הרשות השני</w:t>
      </w:r>
      <w:r w:rsidR="00813995">
        <w:rPr>
          <w:rFonts w:hint="cs"/>
          <w:rtl/>
        </w:rPr>
        <w:t>י</w:t>
      </w:r>
      <w:r w:rsidR="00F76794" w:rsidRPr="00BA0DAB">
        <w:rPr>
          <w:rtl/>
        </w:rPr>
        <w:t>ה להתיר שידורים מפוצלים גם לתחנות רדיו שבאזורן הוקצה תדר אחד בלבד, ככל שהדבר אפשרי בהתחשב במצאי התדרים וזמינותם ובהתאם לצרכיו של הציבור בכל אחד מאזורי הזיכיון.</w:t>
      </w:r>
    </w:p>
    <w:p w14:paraId="4E966FB3" w14:textId="53826C6E" w:rsidR="00F76794" w:rsidRDefault="00F76794" w:rsidP="00BA0DAB">
      <w:pPr>
        <w:pStyle w:val="Hesber"/>
        <w:rPr>
          <w:rtl/>
        </w:rPr>
      </w:pPr>
      <w:r w:rsidRPr="00BA0DAB">
        <w:rPr>
          <w:rtl/>
        </w:rPr>
        <w:t xml:space="preserve">סעיף 2 – לצורך הגשמת האמור בסעיף 1 ולשם הסרת הספק אודות חוקיות השימוש בתדרים שהוקצו לתחנות הרדיו לשידורים מפוצלים, מוצע לתקן את סעיף 110 לחוק ולהבהיר כי הקצאת תדרים לתחנות הרדיו האזוריות נעשית בין היתר לצורך שידורים מפוצלים, ובהתאם לכך, אין בשימוש בתדרים לצורך קיום שידורים מפוצלים באותו אזור הזיכיון, משום שימוש בתדר בניגוד </w:t>
      </w:r>
      <w:r w:rsidR="006D6BC4" w:rsidRPr="00BA0DAB">
        <w:rPr>
          <w:rtl/>
        </w:rPr>
        <w:t>לייעודו</w:t>
      </w:r>
      <w:r w:rsidRPr="00BA0DAB">
        <w:rPr>
          <w:rtl/>
        </w:rPr>
        <w:t xml:space="preserve">, לפי פקודת הטלגרף האלחוטי. </w:t>
      </w:r>
    </w:p>
    <w:p w14:paraId="6922D9A4" w14:textId="248B3654" w:rsidR="00B60362" w:rsidRDefault="00B60362" w:rsidP="00813995">
      <w:pPr>
        <w:pStyle w:val="Hesber"/>
        <w:rPr>
          <w:rtl/>
        </w:rPr>
      </w:pPr>
      <w:r w:rsidRPr="0049338F">
        <w:rPr>
          <w:rFonts w:hint="cs"/>
          <w:rtl/>
        </w:rPr>
        <w:t xml:space="preserve">סעיף </w:t>
      </w:r>
      <w:r>
        <w:rPr>
          <w:rFonts w:hint="cs"/>
          <w:rtl/>
        </w:rPr>
        <w:t xml:space="preserve">3 </w:t>
      </w:r>
      <w:r w:rsidR="00813995" w:rsidRPr="00BA0DAB">
        <w:rPr>
          <w:rtl/>
        </w:rPr>
        <w:t xml:space="preserve">– </w:t>
      </w:r>
      <w:r w:rsidRPr="0049338F">
        <w:rPr>
          <w:rFonts w:hint="cs"/>
          <w:rtl/>
        </w:rPr>
        <w:t>מועצת הרשות השנ</w:t>
      </w:r>
      <w:r w:rsidR="00813995">
        <w:rPr>
          <w:rFonts w:hint="cs"/>
          <w:rtl/>
        </w:rPr>
        <w:t>י</w:t>
      </w:r>
      <w:r w:rsidRPr="0049338F">
        <w:rPr>
          <w:rFonts w:hint="cs"/>
          <w:rtl/>
        </w:rPr>
        <w:t xml:space="preserve">יה </w:t>
      </w:r>
      <w:r>
        <w:rPr>
          <w:rFonts w:hint="cs"/>
          <w:rtl/>
        </w:rPr>
        <w:t xml:space="preserve">תקבע כללים </w:t>
      </w:r>
      <w:r w:rsidRPr="0049338F">
        <w:rPr>
          <w:rFonts w:hint="cs"/>
          <w:rtl/>
        </w:rPr>
        <w:t>לעניין מתכונת השידורים המפוצלים</w:t>
      </w:r>
      <w:r>
        <w:rPr>
          <w:rFonts w:hint="cs"/>
          <w:rtl/>
        </w:rPr>
        <w:t xml:space="preserve"> בתוך שישים ימים מיום תחילתו של חוק זה</w:t>
      </w:r>
      <w:r w:rsidR="006433E9">
        <w:rPr>
          <w:rFonts w:hint="cs"/>
          <w:rtl/>
        </w:rPr>
        <w:t>.</w:t>
      </w:r>
      <w:r w:rsidRPr="0049338F">
        <w:rPr>
          <w:rFonts w:hint="cs"/>
          <w:rtl/>
        </w:rPr>
        <w:t xml:space="preserve"> </w:t>
      </w:r>
    </w:p>
    <w:p w14:paraId="3827EF27" w14:textId="397A3E59" w:rsidR="00B60362" w:rsidRPr="0049338F" w:rsidRDefault="00B60362" w:rsidP="00BA0DAB">
      <w:pPr>
        <w:pStyle w:val="Hesber"/>
        <w:rPr>
          <w:rtl/>
        </w:rPr>
      </w:pPr>
      <w:r w:rsidRPr="0049338F">
        <w:rPr>
          <w:rFonts w:hint="cs"/>
          <w:rtl/>
        </w:rPr>
        <w:t xml:space="preserve">סעיף </w:t>
      </w:r>
      <w:r w:rsidR="00640D9B">
        <w:rPr>
          <w:rFonts w:hint="cs"/>
          <w:rtl/>
        </w:rPr>
        <w:t>4</w:t>
      </w:r>
      <w:r w:rsidRPr="0049338F">
        <w:rPr>
          <w:rFonts w:hint="cs"/>
          <w:rtl/>
        </w:rPr>
        <w:t xml:space="preserve">  </w:t>
      </w:r>
      <w:r w:rsidRPr="0049338F">
        <w:rPr>
          <w:rtl/>
        </w:rPr>
        <w:t>–</w:t>
      </w:r>
      <w:r w:rsidRPr="0049338F">
        <w:rPr>
          <w:rFonts w:hint="cs"/>
          <w:rtl/>
        </w:rPr>
        <w:t xml:space="preserve"> נועד לאפשר את המשך השידורים של תחנות הרדיו</w:t>
      </w:r>
      <w:r w:rsidR="00640D9B">
        <w:rPr>
          <w:rFonts w:hint="cs"/>
          <w:rtl/>
        </w:rPr>
        <w:t>,</w:t>
      </w:r>
      <w:r w:rsidRPr="0049338F">
        <w:rPr>
          <w:rFonts w:hint="cs"/>
          <w:rtl/>
        </w:rPr>
        <w:t xml:space="preserve"> אשר המועצה העניקה להם אישור לפיצול שידורים טרם כניסתו של החוק לתוקף, בתנאים שקבעה המועצה, עד לקביעת הכללים החדשים על ידי המועצה, על מנת להבטיח רציפות שידורים לקהלי היעד, על בסיס ההכרה בצורך ובאינטרס הציבורי שמכוחם ניתנו אישורים כאמור על ידי המועצה.  </w:t>
      </w:r>
    </w:p>
    <w:p w14:paraId="24435665" w14:textId="77777777" w:rsidR="00B60362" w:rsidRPr="0049338F" w:rsidRDefault="00B60362" w:rsidP="00B60362">
      <w:pPr>
        <w:pStyle w:val="Hesber"/>
        <w:rPr>
          <w:rtl/>
        </w:rPr>
      </w:pPr>
    </w:p>
    <w:p w14:paraId="50321E12" w14:textId="77777777" w:rsidR="008D6F72" w:rsidRPr="0022704F" w:rsidRDefault="008D6F72" w:rsidP="008D6F72">
      <w:pPr>
        <w:ind w:left="340" w:firstLine="0"/>
        <w:rPr>
          <w:rFonts w:ascii="Arial" w:eastAsia="Arial Unicode MS" w:hAnsi="Arial" w:cs="David"/>
          <w:snapToGrid w:val="0"/>
          <w:spacing w:val="0"/>
          <w:sz w:val="20"/>
          <w:szCs w:val="26"/>
          <w:rtl/>
        </w:rPr>
      </w:pPr>
      <w:r w:rsidRPr="0022704F">
        <w:rPr>
          <w:rFonts w:ascii="Arial" w:eastAsia="Arial Unicode MS" w:hAnsi="Arial" w:cs="David"/>
          <w:snapToGrid w:val="0"/>
          <w:spacing w:val="0"/>
          <w:sz w:val="20"/>
          <w:szCs w:val="26"/>
          <w:rtl/>
        </w:rPr>
        <w:t>---------------------------------</w:t>
      </w:r>
    </w:p>
    <w:p w14:paraId="2DB868CA" w14:textId="77777777" w:rsidR="008D6F72" w:rsidRPr="0022704F" w:rsidRDefault="008D6F72" w:rsidP="008D6F72">
      <w:pPr>
        <w:ind w:left="340" w:firstLine="0"/>
        <w:rPr>
          <w:rFonts w:ascii="Arial" w:eastAsia="Arial Unicode MS" w:hAnsi="Arial" w:cs="David"/>
          <w:snapToGrid w:val="0"/>
          <w:spacing w:val="0"/>
          <w:sz w:val="20"/>
          <w:szCs w:val="26"/>
          <w:rtl/>
        </w:rPr>
      </w:pPr>
      <w:r w:rsidRPr="0022704F">
        <w:rPr>
          <w:rFonts w:ascii="Arial" w:eastAsia="Arial Unicode MS" w:hAnsi="Arial" w:cs="David"/>
          <w:snapToGrid w:val="0"/>
          <w:spacing w:val="0"/>
          <w:sz w:val="20"/>
          <w:szCs w:val="26"/>
          <w:rtl/>
        </w:rPr>
        <w:t>הוגשה ליו"ר הכנסת והסגנים</w:t>
      </w:r>
    </w:p>
    <w:p w14:paraId="1698D577" w14:textId="77777777" w:rsidR="008D6F72" w:rsidRPr="0022704F" w:rsidRDefault="008D6F72" w:rsidP="008D6F72">
      <w:pPr>
        <w:ind w:left="340" w:firstLine="0"/>
        <w:rPr>
          <w:rFonts w:ascii="Arial" w:eastAsia="Arial Unicode MS" w:hAnsi="Arial" w:cs="David"/>
          <w:snapToGrid w:val="0"/>
          <w:spacing w:val="0"/>
          <w:sz w:val="20"/>
          <w:szCs w:val="26"/>
          <w:rtl/>
        </w:rPr>
      </w:pPr>
      <w:r w:rsidRPr="0022704F">
        <w:rPr>
          <w:rFonts w:ascii="Arial" w:eastAsia="Arial Unicode MS" w:hAnsi="Arial" w:cs="David"/>
          <w:snapToGrid w:val="0"/>
          <w:spacing w:val="0"/>
          <w:sz w:val="20"/>
          <w:szCs w:val="26"/>
          <w:rtl/>
        </w:rPr>
        <w:t>והונחה על שולחן הכנסת ביום</w:t>
      </w:r>
    </w:p>
    <w:p w14:paraId="00420609" w14:textId="77777777" w:rsidR="008D6F72" w:rsidRPr="00935520" w:rsidRDefault="008D6F72" w:rsidP="008D6F72">
      <w:pPr>
        <w:ind w:left="340" w:firstLine="0"/>
        <w:rPr>
          <w:rFonts w:ascii="Arial" w:eastAsia="Arial Unicode MS" w:hAnsi="Arial" w:cs="David"/>
          <w:snapToGrid w:val="0"/>
          <w:spacing w:val="0"/>
          <w:sz w:val="20"/>
          <w:szCs w:val="26"/>
        </w:rPr>
      </w:pPr>
      <w:r>
        <w:rPr>
          <w:rFonts w:ascii="Arial" w:eastAsia="Arial Unicode MS" w:hAnsi="Arial" w:cs="David" w:hint="cs"/>
          <w:snapToGrid w:val="0"/>
          <w:spacing w:val="0"/>
          <w:sz w:val="20"/>
          <w:szCs w:val="26"/>
          <w:rtl/>
        </w:rPr>
        <w:t>י"ט בתמוז התשע"ה</w:t>
      </w:r>
      <w:r w:rsidRPr="00935520">
        <w:rPr>
          <w:rFonts w:ascii="Arial" w:eastAsia="Arial Unicode MS" w:hAnsi="Arial" w:cs="David" w:hint="cs"/>
          <w:snapToGrid w:val="0"/>
          <w:spacing w:val="0"/>
          <w:sz w:val="20"/>
          <w:szCs w:val="26"/>
          <w:rtl/>
        </w:rPr>
        <w:t xml:space="preserve"> – </w:t>
      </w:r>
      <w:r>
        <w:rPr>
          <w:rFonts w:ascii="Arial" w:eastAsia="Arial Unicode MS" w:hAnsi="Arial" w:cs="David" w:hint="cs"/>
          <w:snapToGrid w:val="0"/>
          <w:spacing w:val="0"/>
          <w:sz w:val="20"/>
          <w:szCs w:val="26"/>
          <w:rtl/>
        </w:rPr>
        <w:t>6</w:t>
      </w:r>
      <w:r w:rsidRPr="00935520">
        <w:rPr>
          <w:rFonts w:ascii="Arial" w:eastAsia="Arial Unicode MS" w:hAnsi="Arial" w:cs="David" w:hint="cs"/>
          <w:snapToGrid w:val="0"/>
          <w:spacing w:val="0"/>
          <w:sz w:val="20"/>
          <w:szCs w:val="26"/>
          <w:rtl/>
        </w:rPr>
        <w:t>.</w:t>
      </w:r>
      <w:r>
        <w:rPr>
          <w:rFonts w:ascii="Arial" w:eastAsia="Arial Unicode MS" w:hAnsi="Arial" w:cs="David" w:hint="cs"/>
          <w:snapToGrid w:val="0"/>
          <w:spacing w:val="0"/>
          <w:sz w:val="20"/>
          <w:szCs w:val="26"/>
          <w:rtl/>
        </w:rPr>
        <w:t>7</w:t>
      </w:r>
      <w:r w:rsidRPr="00935520">
        <w:rPr>
          <w:rFonts w:ascii="Arial" w:eastAsia="Arial Unicode MS" w:hAnsi="Arial" w:cs="David" w:hint="cs"/>
          <w:snapToGrid w:val="0"/>
          <w:spacing w:val="0"/>
          <w:sz w:val="20"/>
          <w:szCs w:val="26"/>
          <w:rtl/>
        </w:rPr>
        <w:t>.</w:t>
      </w:r>
      <w:r>
        <w:rPr>
          <w:rFonts w:ascii="Arial" w:eastAsia="Arial Unicode MS" w:hAnsi="Arial" w:cs="David" w:hint="cs"/>
          <w:snapToGrid w:val="0"/>
          <w:spacing w:val="0"/>
          <w:sz w:val="20"/>
          <w:szCs w:val="26"/>
          <w:rtl/>
        </w:rPr>
        <w:t>15</w:t>
      </w:r>
    </w:p>
    <w:p w14:paraId="7FEE2589" w14:textId="77777777" w:rsidR="008D6F72" w:rsidRPr="00E635D3" w:rsidRDefault="008D6F72" w:rsidP="008D6F72">
      <w:pPr>
        <w:ind w:left="340" w:firstLine="0"/>
        <w:rPr>
          <w:rFonts w:ascii="Arial" w:eastAsia="Arial Unicode MS" w:hAnsi="Arial" w:cs="David"/>
          <w:snapToGrid w:val="0"/>
          <w:spacing w:val="0"/>
          <w:sz w:val="20"/>
          <w:szCs w:val="26"/>
          <w:rtl/>
        </w:rPr>
      </w:pPr>
    </w:p>
    <w:p w14:paraId="4155CEA9" w14:textId="77777777" w:rsidR="00B60362" w:rsidRPr="00BA0DAB" w:rsidRDefault="00B60362" w:rsidP="00BA0DAB">
      <w:pPr>
        <w:pStyle w:val="Hesber"/>
        <w:rPr>
          <w:rtl/>
        </w:rPr>
      </w:pPr>
    </w:p>
    <w:sectPr w:rsidR="00B60362" w:rsidRPr="00BA0DAB" w:rsidSect="001207F8">
      <w:footerReference w:type="even" r:id="rId12"/>
      <w:footerReference w:type="default" r:id="rId13"/>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9B043" w14:textId="77777777" w:rsidR="00716D68" w:rsidRDefault="00716D68">
      <w:r>
        <w:separator/>
      </w:r>
    </w:p>
  </w:endnote>
  <w:endnote w:type="continuationSeparator" w:id="0">
    <w:p w14:paraId="1F67EC0C" w14:textId="77777777" w:rsidR="00716D68" w:rsidRDefault="00716D68">
      <w:r>
        <w:continuationSeparator/>
      </w:r>
    </w:p>
  </w:endnote>
  <w:endnote w:type="continuationNotice" w:id="1">
    <w:p w14:paraId="0D7E02A4" w14:textId="77777777" w:rsidR="00716D68" w:rsidRDefault="00716D6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3563FB">
      <w:rPr>
        <w:rStyle w:val="aa"/>
        <w:noProof/>
        <w:rtl/>
      </w:rPr>
      <w:t>3</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7AE5C" w14:textId="77777777" w:rsidR="00716D68" w:rsidRDefault="00716D68">
      <w:r>
        <w:separator/>
      </w:r>
    </w:p>
  </w:footnote>
  <w:footnote w:type="continuationSeparator" w:id="0">
    <w:p w14:paraId="0C6DE50C" w14:textId="77777777" w:rsidR="00716D68" w:rsidRDefault="00716D68">
      <w:r>
        <w:continuationSeparator/>
      </w:r>
    </w:p>
  </w:footnote>
  <w:footnote w:type="continuationNotice" w:id="1">
    <w:p w14:paraId="55AD7306" w14:textId="77777777" w:rsidR="00716D68" w:rsidRDefault="00716D68"/>
  </w:footnote>
  <w:footnote w:id="2">
    <w:p w14:paraId="7C48051C" w14:textId="12607285" w:rsidR="00F76794" w:rsidRDefault="00F76794" w:rsidP="00F76794">
      <w:pPr>
        <w:pStyle w:val="a4"/>
      </w:pPr>
      <w:r>
        <w:rPr>
          <w:rStyle w:val="a5"/>
        </w:rPr>
        <w:footnoteRef/>
      </w:r>
      <w:r>
        <w:rPr>
          <w:rtl/>
        </w:rPr>
        <w:t xml:space="preserve"> </w:t>
      </w:r>
      <w:r>
        <w:rPr>
          <w:rFonts w:hint="cs"/>
          <w:rtl/>
        </w:rPr>
        <w:t xml:space="preserve">ס"ח </w:t>
      </w:r>
      <w:proofErr w:type="spellStart"/>
      <w:r w:rsidR="00E61F29">
        <w:rPr>
          <w:rFonts w:hint="cs"/>
          <w:rtl/>
        </w:rPr>
        <w:t>ה</w:t>
      </w:r>
      <w:r>
        <w:rPr>
          <w:rFonts w:hint="cs"/>
          <w:rtl/>
        </w:rPr>
        <w:t>תש"ן</w:t>
      </w:r>
      <w:proofErr w:type="spellEnd"/>
      <w:r>
        <w:rPr>
          <w:rFonts w:hint="cs"/>
          <w:rtl/>
        </w:rPr>
        <w:t>, עמ' 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FFFFFF7D"/>
    <w:multiLevelType w:val="singleLevel"/>
    <w:tmpl w:val="7D5CAEA8"/>
    <w:lvl w:ilvl="0">
      <w:start w:val="1"/>
      <w:numFmt w:val="decimal"/>
      <w:lvlText w:val="%1."/>
      <w:lvlJc w:val="left"/>
      <w:pPr>
        <w:tabs>
          <w:tab w:val="num" w:pos="1209"/>
        </w:tabs>
        <w:ind w:left="1209" w:hanging="360"/>
      </w:pPr>
    </w:lvl>
  </w:abstractNum>
  <w:abstractNum w:abstractNumId="2">
    <w:nsid w:val="FFFFFF7E"/>
    <w:multiLevelType w:val="singleLevel"/>
    <w:tmpl w:val="67E88A74"/>
    <w:lvl w:ilvl="0">
      <w:start w:val="1"/>
      <w:numFmt w:val="decimal"/>
      <w:lvlText w:val="%1."/>
      <w:lvlJc w:val="left"/>
      <w:pPr>
        <w:tabs>
          <w:tab w:val="num" w:pos="926"/>
        </w:tabs>
        <w:ind w:left="926" w:hanging="360"/>
      </w:pPr>
    </w:lvl>
  </w:abstractNum>
  <w:abstractNum w:abstractNumId="3">
    <w:nsid w:val="FFFFFF7F"/>
    <w:multiLevelType w:val="singleLevel"/>
    <w:tmpl w:val="45DA1EB8"/>
    <w:lvl w:ilvl="0">
      <w:start w:val="1"/>
      <w:numFmt w:val="decimal"/>
      <w:lvlText w:val="%1."/>
      <w:lvlJc w:val="left"/>
      <w:pPr>
        <w:tabs>
          <w:tab w:val="num" w:pos="643"/>
        </w:tabs>
        <w:ind w:left="643" w:hanging="360"/>
      </w:pPr>
    </w:lvl>
  </w:abstractNum>
  <w:abstractNum w:abstractNumId="4">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424606"/>
    <w:lvl w:ilvl="0">
      <w:start w:val="1"/>
      <w:numFmt w:val="decimal"/>
      <w:lvlText w:val="%1."/>
      <w:lvlJc w:val="left"/>
      <w:pPr>
        <w:tabs>
          <w:tab w:val="num" w:pos="360"/>
        </w:tabs>
        <w:ind w:left="360" w:hanging="360"/>
      </w:pPr>
    </w:lvl>
  </w:abstractNum>
  <w:abstractNum w:abstractNumId="9">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21C5"/>
    <w:rsid w:val="000A542E"/>
    <w:rsid w:val="000A625D"/>
    <w:rsid w:val="000E47D9"/>
    <w:rsid w:val="000F69A8"/>
    <w:rsid w:val="00102B6B"/>
    <w:rsid w:val="001052D4"/>
    <w:rsid w:val="0010644B"/>
    <w:rsid w:val="001207F8"/>
    <w:rsid w:val="00121924"/>
    <w:rsid w:val="001279A8"/>
    <w:rsid w:val="0014195F"/>
    <w:rsid w:val="00152609"/>
    <w:rsid w:val="00153E1B"/>
    <w:rsid w:val="0015491B"/>
    <w:rsid w:val="00176057"/>
    <w:rsid w:val="001930DE"/>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874A2"/>
    <w:rsid w:val="00292712"/>
    <w:rsid w:val="002A487D"/>
    <w:rsid w:val="002C2E29"/>
    <w:rsid w:val="002C3041"/>
    <w:rsid w:val="002D1EE3"/>
    <w:rsid w:val="002F1D80"/>
    <w:rsid w:val="003232A2"/>
    <w:rsid w:val="00325C14"/>
    <w:rsid w:val="00334ECB"/>
    <w:rsid w:val="003563FB"/>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0D9B"/>
    <w:rsid w:val="006433E9"/>
    <w:rsid w:val="00644940"/>
    <w:rsid w:val="006818A9"/>
    <w:rsid w:val="006A0956"/>
    <w:rsid w:val="006A2D81"/>
    <w:rsid w:val="006C1D0D"/>
    <w:rsid w:val="006D6BC4"/>
    <w:rsid w:val="0070601E"/>
    <w:rsid w:val="00712C72"/>
    <w:rsid w:val="00716D68"/>
    <w:rsid w:val="00735FE9"/>
    <w:rsid w:val="00763CAA"/>
    <w:rsid w:val="00765F66"/>
    <w:rsid w:val="0078664F"/>
    <w:rsid w:val="007C3FA6"/>
    <w:rsid w:val="007D585A"/>
    <w:rsid w:val="007D5A12"/>
    <w:rsid w:val="007E59F9"/>
    <w:rsid w:val="008006B9"/>
    <w:rsid w:val="00810BCD"/>
    <w:rsid w:val="00812C98"/>
    <w:rsid w:val="00813995"/>
    <w:rsid w:val="00814D92"/>
    <w:rsid w:val="0083181D"/>
    <w:rsid w:val="00843EB2"/>
    <w:rsid w:val="00865572"/>
    <w:rsid w:val="00874BBC"/>
    <w:rsid w:val="00892135"/>
    <w:rsid w:val="00895449"/>
    <w:rsid w:val="00897879"/>
    <w:rsid w:val="008A6870"/>
    <w:rsid w:val="008C2DDC"/>
    <w:rsid w:val="008C7516"/>
    <w:rsid w:val="008D6F72"/>
    <w:rsid w:val="008E6EC7"/>
    <w:rsid w:val="008F0D63"/>
    <w:rsid w:val="008F1308"/>
    <w:rsid w:val="008F2C35"/>
    <w:rsid w:val="008F6665"/>
    <w:rsid w:val="009034FA"/>
    <w:rsid w:val="00904591"/>
    <w:rsid w:val="00905E5F"/>
    <w:rsid w:val="0091204F"/>
    <w:rsid w:val="009203DB"/>
    <w:rsid w:val="00923CD4"/>
    <w:rsid w:val="00930EFE"/>
    <w:rsid w:val="00943386"/>
    <w:rsid w:val="009456B6"/>
    <w:rsid w:val="00957589"/>
    <w:rsid w:val="00966D06"/>
    <w:rsid w:val="00982412"/>
    <w:rsid w:val="00983A8D"/>
    <w:rsid w:val="00996925"/>
    <w:rsid w:val="009A0DB8"/>
    <w:rsid w:val="009A7257"/>
    <w:rsid w:val="009D6E0A"/>
    <w:rsid w:val="009E1E33"/>
    <w:rsid w:val="00A14672"/>
    <w:rsid w:val="00A26BD6"/>
    <w:rsid w:val="00A443CF"/>
    <w:rsid w:val="00A45DEF"/>
    <w:rsid w:val="00A6611D"/>
    <w:rsid w:val="00A82CB7"/>
    <w:rsid w:val="00A942C1"/>
    <w:rsid w:val="00AA2F03"/>
    <w:rsid w:val="00AC36F7"/>
    <w:rsid w:val="00AC63A4"/>
    <w:rsid w:val="00AD239E"/>
    <w:rsid w:val="00AE206D"/>
    <w:rsid w:val="00B10265"/>
    <w:rsid w:val="00B16A99"/>
    <w:rsid w:val="00B21211"/>
    <w:rsid w:val="00B2663C"/>
    <w:rsid w:val="00B35784"/>
    <w:rsid w:val="00B60362"/>
    <w:rsid w:val="00B72419"/>
    <w:rsid w:val="00B733A7"/>
    <w:rsid w:val="00B75C91"/>
    <w:rsid w:val="00B975AD"/>
    <w:rsid w:val="00BA0DAB"/>
    <w:rsid w:val="00BC45FB"/>
    <w:rsid w:val="00BE5097"/>
    <w:rsid w:val="00BF148D"/>
    <w:rsid w:val="00C23B1A"/>
    <w:rsid w:val="00C310EB"/>
    <w:rsid w:val="00C9176A"/>
    <w:rsid w:val="00CF1AA2"/>
    <w:rsid w:val="00D05094"/>
    <w:rsid w:val="00D17774"/>
    <w:rsid w:val="00D374EE"/>
    <w:rsid w:val="00D63620"/>
    <w:rsid w:val="00D8410D"/>
    <w:rsid w:val="00D867D7"/>
    <w:rsid w:val="00DB7060"/>
    <w:rsid w:val="00DE3153"/>
    <w:rsid w:val="00E06736"/>
    <w:rsid w:val="00E13C27"/>
    <w:rsid w:val="00E33BBD"/>
    <w:rsid w:val="00E34474"/>
    <w:rsid w:val="00E374F2"/>
    <w:rsid w:val="00E45103"/>
    <w:rsid w:val="00E55A60"/>
    <w:rsid w:val="00E61F29"/>
    <w:rsid w:val="00E62778"/>
    <w:rsid w:val="00E63D38"/>
    <w:rsid w:val="00E644E0"/>
    <w:rsid w:val="00E665B9"/>
    <w:rsid w:val="00EA01E6"/>
    <w:rsid w:val="00EA3DE8"/>
    <w:rsid w:val="00EA758F"/>
    <w:rsid w:val="00ED4A6F"/>
    <w:rsid w:val="00EE1B28"/>
    <w:rsid w:val="00EF3A3A"/>
    <w:rsid w:val="00F12559"/>
    <w:rsid w:val="00F628D6"/>
    <w:rsid w:val="00F6566F"/>
    <w:rsid w:val="00F67051"/>
    <w:rsid w:val="00F76794"/>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5A32D995-87A7-4A7C-B3E2-38B1B7439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D0B1BFF-41BF-4CE4-AA08-399C7F8F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4611</Characters>
  <Application>Microsoft Office Word</Application>
  <DocSecurity>0</DocSecurity>
  <Lines>38</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ברק הרשקוביץ</dc:creator>
  <cp:lastModifiedBy>סיגל אלמוג</cp:lastModifiedBy>
  <cp:revision>2</cp:revision>
  <cp:lastPrinted>2015-07-05T08:03:00Z</cp:lastPrinted>
  <dcterms:created xsi:type="dcterms:W3CDTF">2015-09-21T06:00:00Z</dcterms:created>
  <dcterms:modified xsi:type="dcterms:W3CDTF">2015-09-21T06:00:00Z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566478</vt:r8>
  </property>
</Properties>
</file>