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562899</w:t>
      </w:r>
      <w:bookmarkEnd w:id="0"/>
    </w:p>
    <w:p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 w:rsidR="00060FE2">
        <w:rPr>
          <w:sz w:val="28"/>
          <w:szCs w:val="28"/>
          <w:rtl/>
        </w:rPr>
        <w:t>העשרים</w:t>
      </w:r>
      <w:bookmarkEnd w:id="1"/>
    </w:p>
    <w:p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:rsidR="00E13C27" w:rsidRPr="00CF1AA2" w:rsidRDefault="008F6665" w:rsidP="00E91C97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יואל חסון</w:t>
      </w:r>
      <w:bookmarkStart w:id="4" w:name="LGS_Join_List"/>
      <w:bookmarkEnd w:id="3"/>
      <w:r w:rsidR="007D585A"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 w:rsidR="007D585A">
        <w:rPr>
          <w:rFonts w:hint="cs"/>
          <w:rtl/>
        </w:rPr>
        <w:t xml:space="preserve"> </w:t>
      </w:r>
      <w:bookmarkEnd w:id="5"/>
    </w:p>
    <w:p w:rsidR="00E13C27" w:rsidRPr="00E06736" w:rsidRDefault="0014195F" w:rsidP="00E91C97">
      <w:pPr>
        <w:pStyle w:val="David"/>
        <w:spacing w:line="360" w:lineRule="auto"/>
        <w:ind w:left="3544"/>
        <w:rPr>
          <w:rtl/>
        </w:rPr>
      </w:pPr>
      <w:r w:rsidRPr="00CF1AA2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6961CE" wp14:editId="7F6961CF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 w:rsidRPr="00E06736">
        <w:rPr>
          <w:rFonts w:hint="cs"/>
          <w:rtl/>
        </w:rPr>
        <w:tab/>
      </w:r>
      <w:r w:rsidR="00416B4D">
        <w:tab/>
      </w:r>
      <w:r w:rsidR="00FA5E88">
        <w:tab/>
      </w:r>
      <w:r w:rsidR="00E13C27" w:rsidRPr="00E06736">
        <w:rPr>
          <w:rFonts w:hint="cs"/>
          <w:rtl/>
        </w:rPr>
        <w:tab/>
      </w:r>
      <w:r w:rsidR="00E06736" w:rsidRPr="00E06736">
        <w:tab/>
      </w:r>
      <w:bookmarkStart w:id="6" w:name="Private_Number"/>
      <w:r>
        <w:rPr>
          <w:rFonts w:hint="cs"/>
          <w:rtl/>
        </w:rPr>
        <w:t>פ/344/20</w:t>
      </w:r>
      <w:bookmarkEnd w:id="6"/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</w:p>
    <w:p w:rsidR="00E13C27" w:rsidRDefault="00A443CF" w:rsidP="00E91C97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הגנת הצרכן (תיקון – משלוח התראת תשלום לצרכן), התשע"ה–2015</w:t>
      </w:r>
      <w:bookmarkEnd w:id="7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4026"/>
      </w:tblGrid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  <w:keepLines w:val="0"/>
            </w:pPr>
            <w:r>
              <w:rPr>
                <w:sz w:val="26"/>
                <w:rtl/>
              </w:rPr>
              <w:t>הוספת סעיף 13ב2</w:t>
            </w: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  <w:keepLines w:val="0"/>
            </w:pPr>
            <w:r>
              <w:rPr>
                <w:rtl/>
              </w:rPr>
              <w:t>1.</w:t>
            </w:r>
          </w:p>
        </w:tc>
        <w:tc>
          <w:tcPr>
            <w:tcW w:w="7146" w:type="dxa"/>
            <w:gridSpan w:val="6"/>
          </w:tcPr>
          <w:p w:rsidR="006D1977" w:rsidRPr="006D355C" w:rsidRDefault="006D1977" w:rsidP="00103317">
            <w:pPr>
              <w:pStyle w:val="TableHead"/>
              <w:keepLines w:val="0"/>
              <w:jc w:val="left"/>
              <w:rPr>
                <w:b w:val="0"/>
                <w:bCs w:val="0"/>
              </w:rPr>
            </w:pPr>
            <w:r w:rsidRPr="006D355C">
              <w:rPr>
                <w:b w:val="0"/>
                <w:bCs w:val="0"/>
                <w:sz w:val="26"/>
                <w:rtl/>
              </w:rPr>
              <w:t>בחוק הגנת הצרכן, התשמ"א–1981</w:t>
            </w:r>
            <w:r w:rsidRPr="006D355C">
              <w:rPr>
                <w:rStyle w:val="a6"/>
                <w:b w:val="0"/>
                <w:bCs w:val="0"/>
                <w:sz w:val="26"/>
                <w:rtl/>
              </w:rPr>
              <w:footnoteReference w:id="2"/>
            </w:r>
            <w:r w:rsidRPr="006D355C">
              <w:rPr>
                <w:b w:val="0"/>
                <w:bCs w:val="0"/>
                <w:sz w:val="26"/>
                <w:rtl/>
              </w:rPr>
              <w:t xml:space="preserve">, </w:t>
            </w:r>
            <w:r>
              <w:rPr>
                <w:b w:val="0"/>
                <w:bCs w:val="0"/>
                <w:sz w:val="26"/>
                <w:rtl/>
              </w:rPr>
              <w:t>אחרי</w:t>
            </w:r>
            <w:r w:rsidRPr="006D355C">
              <w:rPr>
                <w:b w:val="0"/>
                <w:bCs w:val="0"/>
                <w:sz w:val="26"/>
                <w:rtl/>
              </w:rPr>
              <w:t xml:space="preserve"> סעיף 13ב1 יבוא</w:t>
            </w:r>
            <w:r>
              <w:rPr>
                <w:b w:val="0"/>
                <w:bCs w:val="0"/>
                <w:rtl/>
              </w:rPr>
              <w:t>: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6D1977" w:rsidRDefault="006D1977" w:rsidP="00103317">
            <w:pPr>
              <w:pStyle w:val="TableInnerSideHeading"/>
            </w:pPr>
            <w:r>
              <w:rPr>
                <w:rtl/>
              </w:rPr>
              <w:t>"משלוח התראת תשלום לצרכן</w:t>
            </w: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  <w:r>
              <w:rPr>
                <w:rtl/>
              </w:rPr>
              <w:t>13ב2.</w:t>
            </w:r>
          </w:p>
        </w:tc>
        <w:tc>
          <w:tcPr>
            <w:tcW w:w="4650" w:type="dxa"/>
            <w:gridSpan w:val="2"/>
          </w:tcPr>
          <w:p w:rsidR="006D1977" w:rsidRDefault="006D1977" w:rsidP="00103317">
            <w:pPr>
              <w:pStyle w:val="TableBlock"/>
            </w:pPr>
            <w:r>
              <w:rPr>
                <w:sz w:val="26"/>
                <w:rtl/>
              </w:rPr>
              <w:t>(א)</w:t>
            </w:r>
            <w:r>
              <w:rPr>
                <w:sz w:val="26"/>
                <w:rtl/>
              </w:rPr>
              <w:tab/>
              <w:t xml:space="preserve">על אף האמור בכל דין, עוסק ישלח התראת תשלום לצרכן שלא שילם חיוב במועד שנקבע לכך, למען </w:t>
            </w:r>
            <w:r w:rsidRPr="00166B53">
              <w:rPr>
                <w:sz w:val="26"/>
                <w:rtl/>
              </w:rPr>
              <w:t>הרשום אצל</w:t>
            </w:r>
            <w:r>
              <w:rPr>
                <w:sz w:val="26"/>
                <w:rtl/>
              </w:rPr>
              <w:t>ו</w:t>
            </w:r>
            <w:r w:rsidR="00707846">
              <w:rPr>
                <w:rFonts w:hint="cs"/>
                <w:sz w:val="26"/>
                <w:rtl/>
              </w:rPr>
              <w:t>,</w:t>
            </w:r>
            <w:r w:rsidRPr="00166B53">
              <w:rPr>
                <w:sz w:val="26"/>
                <w:rtl/>
              </w:rPr>
              <w:t xml:space="preserve"> בדואר רשום עם אישור מסירה</w:t>
            </w:r>
            <w:r>
              <w:rPr>
                <w:sz w:val="26"/>
                <w:rtl/>
              </w:rPr>
              <w:t>;</w:t>
            </w:r>
            <w:r w:rsidRPr="00166B53">
              <w:rPr>
                <w:sz w:val="26"/>
                <w:rtl/>
              </w:rPr>
              <w:t xml:space="preserve"> </w:t>
            </w:r>
            <w:r>
              <w:rPr>
                <w:sz w:val="26"/>
                <w:rtl/>
              </w:rPr>
              <w:t>התראת התשלום תכלול פרטים אלה: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026" w:type="dxa"/>
          </w:tcPr>
          <w:p w:rsidR="006D1977" w:rsidRPr="006D355C" w:rsidRDefault="006D1977" w:rsidP="00103317">
            <w:pPr>
              <w:pStyle w:val="TableBlock"/>
              <w:tabs>
                <w:tab w:val="clear" w:pos="624"/>
              </w:tabs>
              <w:rPr>
                <w:sz w:val="26"/>
              </w:rPr>
            </w:pPr>
            <w:r>
              <w:rPr>
                <w:sz w:val="26"/>
                <w:rtl/>
              </w:rPr>
              <w:t>(1)     שם העוסק עמו בוצעה העסקה, לרבות שמו המסחרי;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026" w:type="dxa"/>
          </w:tcPr>
          <w:p w:rsidR="006D1977" w:rsidRPr="002F0B4F" w:rsidRDefault="006D1977" w:rsidP="00103317">
            <w:pPr>
              <w:pStyle w:val="TableBlock"/>
              <w:rPr>
                <w:sz w:val="26"/>
                <w:rtl/>
              </w:rPr>
            </w:pPr>
            <w:r>
              <w:rPr>
                <w:sz w:val="26"/>
                <w:rtl/>
              </w:rPr>
              <w:t>(2)</w:t>
            </w:r>
            <w:r>
              <w:rPr>
                <w:sz w:val="26"/>
                <w:rtl/>
              </w:rPr>
              <w:tab/>
              <w:t>פירוט החוב ואופן חישובו;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026" w:type="dxa"/>
          </w:tcPr>
          <w:p w:rsidR="006D1977" w:rsidRDefault="006D1977" w:rsidP="00103317">
            <w:pPr>
              <w:pStyle w:val="TableBlock"/>
            </w:pPr>
            <w:r>
              <w:rPr>
                <w:sz w:val="26"/>
                <w:rtl/>
              </w:rPr>
              <w:t>(3)</w:t>
            </w:r>
            <w:r>
              <w:rPr>
                <w:sz w:val="26"/>
                <w:rtl/>
              </w:rPr>
              <w:tab/>
              <w:t>אסמכתה לביצוע עסקה שנעשתה כדין ולקיומו של  חוב.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C320FD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650" w:type="dxa"/>
            <w:gridSpan w:val="2"/>
          </w:tcPr>
          <w:p w:rsidR="006D1977" w:rsidRDefault="006D1977" w:rsidP="00ED330A">
            <w:pPr>
              <w:pStyle w:val="TableBlock"/>
            </w:pPr>
            <w:r>
              <w:rPr>
                <w:sz w:val="26"/>
                <w:rtl/>
              </w:rPr>
              <w:t>(ב)</w:t>
            </w:r>
            <w:r>
              <w:rPr>
                <w:sz w:val="26"/>
                <w:rtl/>
              </w:rPr>
              <w:tab/>
              <w:t>עוסק לא ינקוט בהליכים לגביית חוב, לרבות הליכים משפטיים (בסעיף זה – הליכי גבייה), אלא אם כן</w:t>
            </w:r>
            <w:r w:rsidR="00ED330A">
              <w:rPr>
                <w:rFonts w:hint="cs"/>
                <w:sz w:val="26"/>
                <w:rtl/>
              </w:rPr>
              <w:t xml:space="preserve"> </w:t>
            </w:r>
            <w:r>
              <w:rPr>
                <w:sz w:val="26"/>
                <w:rtl/>
              </w:rPr>
              <w:t>שלח לצרכן התראת תשלום לפי הוראות סעיף קטן (א)</w:t>
            </w:r>
            <w:r w:rsidR="00C320FD">
              <w:rPr>
                <w:rFonts w:hint="cs"/>
                <w:sz w:val="26"/>
                <w:rtl/>
              </w:rPr>
              <w:t xml:space="preserve"> ובידיו ראיות לכך</w:t>
            </w:r>
            <w:r>
              <w:rPr>
                <w:sz w:val="26"/>
                <w:rtl/>
              </w:rPr>
              <w:t>.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  <w:rPr>
                <w:spacing w:val="1"/>
                <w:sz w:val="17"/>
              </w:rPr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650" w:type="dxa"/>
            <w:gridSpan w:val="2"/>
          </w:tcPr>
          <w:p w:rsidR="006D1977" w:rsidRDefault="006D1977" w:rsidP="00103317">
            <w:pPr>
              <w:pStyle w:val="TableBlock"/>
              <w:rPr>
                <w:sz w:val="26"/>
                <w:rtl/>
              </w:rPr>
            </w:pPr>
            <w:r>
              <w:rPr>
                <w:sz w:val="26"/>
                <w:rtl/>
              </w:rPr>
              <w:t>(ג)</w:t>
            </w:r>
            <w:r>
              <w:rPr>
                <w:sz w:val="26"/>
                <w:rtl/>
              </w:rPr>
              <w:tab/>
              <w:t>בפנייה בכתב אל הצרכן במסגרת הליכי הגבייה ייכללו הפרטים האמורים בסעיף קטן (א)(1) עד (3).</w:t>
            </w:r>
          </w:p>
        </w:tc>
      </w:tr>
      <w:tr w:rsidR="006D1977" w:rsidTr="00103317">
        <w:trPr>
          <w:cantSplit/>
          <w:trHeight w:val="60"/>
        </w:trPr>
        <w:tc>
          <w:tcPr>
            <w:tcW w:w="1871" w:type="dxa"/>
          </w:tcPr>
          <w:p w:rsidR="006D1977" w:rsidRDefault="006D1977" w:rsidP="00103317">
            <w:pPr>
              <w:pStyle w:val="TableSideHeading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  <w:rPr>
                <w:spacing w:val="1"/>
                <w:sz w:val="17"/>
              </w:rPr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624" w:type="dxa"/>
          </w:tcPr>
          <w:p w:rsidR="006D1977" w:rsidRDefault="006D1977" w:rsidP="00103317">
            <w:pPr>
              <w:pStyle w:val="TableText"/>
            </w:pPr>
          </w:p>
        </w:tc>
        <w:tc>
          <w:tcPr>
            <w:tcW w:w="4650" w:type="dxa"/>
            <w:gridSpan w:val="2"/>
          </w:tcPr>
          <w:p w:rsidR="006D1977" w:rsidRPr="0072389F" w:rsidRDefault="006D1977" w:rsidP="00103317">
            <w:pPr>
              <w:pStyle w:val="TableBlock"/>
            </w:pPr>
            <w:r w:rsidRPr="0072389F">
              <w:rPr>
                <w:sz w:val="26"/>
                <w:rtl/>
              </w:rPr>
              <w:t>(ד)</w:t>
            </w:r>
            <w:r w:rsidRPr="0072389F">
              <w:rPr>
                <w:sz w:val="26"/>
                <w:rtl/>
              </w:rPr>
              <w:tab/>
              <w:t>עוסק שנקט הליכי גבייה בניגוד להוראות סעיפים קטנים (א)</w:t>
            </w:r>
            <w:r>
              <w:rPr>
                <w:sz w:val="26"/>
                <w:rtl/>
              </w:rPr>
              <w:t xml:space="preserve"> עד (ג)</w:t>
            </w:r>
            <w:r w:rsidRPr="0072389F">
              <w:rPr>
                <w:sz w:val="26"/>
                <w:rtl/>
              </w:rPr>
              <w:t xml:space="preserve"> לא </w:t>
            </w:r>
            <w:r>
              <w:rPr>
                <w:sz w:val="26"/>
                <w:rtl/>
              </w:rPr>
              <w:t>יהיה זכאי</w:t>
            </w:r>
            <w:r w:rsidRPr="0072389F">
              <w:rPr>
                <w:sz w:val="26"/>
                <w:rtl/>
              </w:rPr>
              <w:t xml:space="preserve"> </w:t>
            </w:r>
            <w:r>
              <w:rPr>
                <w:sz w:val="26"/>
                <w:rtl/>
              </w:rPr>
              <w:t>ל</w:t>
            </w:r>
            <w:r w:rsidRPr="0072389F">
              <w:rPr>
                <w:sz w:val="26"/>
                <w:rtl/>
              </w:rPr>
              <w:t xml:space="preserve">החזר הוצאות בשל נקיטת הליכי </w:t>
            </w:r>
            <w:r>
              <w:rPr>
                <w:sz w:val="26"/>
                <w:rtl/>
              </w:rPr>
              <w:t>הגבייה</w:t>
            </w:r>
            <w:r w:rsidRPr="0072389F">
              <w:rPr>
                <w:sz w:val="26"/>
                <w:rtl/>
              </w:rPr>
              <w:t>.</w:t>
            </w:r>
            <w:r>
              <w:rPr>
                <w:rtl/>
              </w:rPr>
              <w:t>"</w:t>
            </w:r>
          </w:p>
        </w:tc>
      </w:tr>
    </w:tbl>
    <w:p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:rsidR="006D1977" w:rsidRDefault="006D1977" w:rsidP="006D1977">
      <w:pPr>
        <w:pStyle w:val="Hesber"/>
        <w:rPr>
          <w:rtl/>
        </w:rPr>
      </w:pPr>
      <w:r w:rsidRPr="006F160F">
        <w:rPr>
          <w:rtl/>
        </w:rPr>
        <w:t xml:space="preserve">עוסקים יכולים לפעול לגביית סכומים המגיעים להם, לטענתם, </w:t>
      </w:r>
      <w:r w:rsidR="005F6ECD">
        <w:rPr>
          <w:rFonts w:hint="cs"/>
          <w:rtl/>
        </w:rPr>
        <w:t xml:space="preserve">מהצרכנים </w:t>
      </w:r>
      <w:r>
        <w:rPr>
          <w:rtl/>
        </w:rPr>
        <w:t>עד תום תקופת</w:t>
      </w:r>
      <w:r w:rsidRPr="006F160F">
        <w:rPr>
          <w:rtl/>
        </w:rPr>
        <w:t xml:space="preserve"> ההתיישנות</w:t>
      </w:r>
      <w:r>
        <w:rPr>
          <w:rtl/>
        </w:rPr>
        <w:t xml:space="preserve"> –</w:t>
      </w:r>
      <w:r w:rsidRPr="006F160F">
        <w:rPr>
          <w:rtl/>
        </w:rPr>
        <w:t xml:space="preserve"> תקופה שלא תעלה על </w:t>
      </w:r>
      <w:r>
        <w:rPr>
          <w:rtl/>
        </w:rPr>
        <w:t>שבע</w:t>
      </w:r>
      <w:r w:rsidRPr="006F160F">
        <w:rPr>
          <w:rtl/>
        </w:rPr>
        <w:t xml:space="preserve"> שנים. </w:t>
      </w:r>
      <w:r>
        <w:rPr>
          <w:rtl/>
        </w:rPr>
        <w:t>במקרים רבים, נדרש הצרכן לראשונה</w:t>
      </w:r>
      <w:r w:rsidRPr="006F160F">
        <w:rPr>
          <w:rtl/>
        </w:rPr>
        <w:t xml:space="preserve"> לשלם רק לאחר שנים רבות ממועד </w:t>
      </w:r>
      <w:r>
        <w:rPr>
          <w:rtl/>
        </w:rPr>
        <w:t>התגבשות החוב</w:t>
      </w:r>
      <w:r w:rsidRPr="006F160F">
        <w:rPr>
          <w:rtl/>
        </w:rPr>
        <w:t xml:space="preserve"> ולעיתים סמוך </w:t>
      </w:r>
      <w:r>
        <w:rPr>
          <w:rtl/>
        </w:rPr>
        <w:t>לסיום תקופת</w:t>
      </w:r>
      <w:r w:rsidRPr="006F160F">
        <w:rPr>
          <w:rtl/>
        </w:rPr>
        <w:t xml:space="preserve"> </w:t>
      </w:r>
      <w:r>
        <w:rPr>
          <w:rtl/>
        </w:rPr>
        <w:t>ה</w:t>
      </w:r>
      <w:r w:rsidRPr="006F160F">
        <w:rPr>
          <w:rtl/>
        </w:rPr>
        <w:t>התיישנות.</w:t>
      </w:r>
    </w:p>
    <w:p w:rsidR="006D1977" w:rsidRPr="006F160F" w:rsidRDefault="006D1977" w:rsidP="006D1977">
      <w:pPr>
        <w:pStyle w:val="Hesber"/>
        <w:rPr>
          <w:rtl/>
        </w:rPr>
      </w:pPr>
      <w:r w:rsidRPr="006F160F">
        <w:rPr>
          <w:rtl/>
        </w:rPr>
        <w:t xml:space="preserve">לעיתים  מדובר בתביעות שאינן מבוססות או </w:t>
      </w:r>
      <w:r>
        <w:rPr>
          <w:rtl/>
        </w:rPr>
        <w:t>ב</w:t>
      </w:r>
      <w:r w:rsidRPr="006F160F">
        <w:rPr>
          <w:rtl/>
        </w:rPr>
        <w:t xml:space="preserve">הליכים שננקטו בעקבות עסקאות שלא בוצעו בהתאם לדין, למשל עסקאות מכר מרחוק שבוצעו ללא גילוי נאות או </w:t>
      </w:r>
      <w:r>
        <w:rPr>
          <w:rtl/>
        </w:rPr>
        <w:t>בלי שנשלח</w:t>
      </w:r>
      <w:r w:rsidRPr="006F160F">
        <w:rPr>
          <w:rtl/>
        </w:rPr>
        <w:t xml:space="preserve"> טופס הגילוי הסטטוטורי.</w:t>
      </w:r>
      <w:r w:rsidRPr="006F160F">
        <w:br/>
      </w:r>
      <w:r w:rsidRPr="006F160F">
        <w:rPr>
          <w:rtl/>
        </w:rPr>
        <w:t>לאחרונה אנו עדים לתופע</w:t>
      </w:r>
      <w:r>
        <w:rPr>
          <w:rtl/>
        </w:rPr>
        <w:t>ה לפיה</w:t>
      </w:r>
      <w:r w:rsidRPr="006F160F">
        <w:rPr>
          <w:rtl/>
        </w:rPr>
        <w:t xml:space="preserve"> </w:t>
      </w:r>
      <w:r>
        <w:rPr>
          <w:rtl/>
        </w:rPr>
        <w:t>צרכנים</w:t>
      </w:r>
      <w:r w:rsidRPr="006F160F">
        <w:rPr>
          <w:rtl/>
        </w:rPr>
        <w:t xml:space="preserve"> רבים מקבלים מכתבים מאיימים מעורכי דין</w:t>
      </w:r>
      <w:r>
        <w:rPr>
          <w:rtl/>
        </w:rPr>
        <w:t>, הנשלחים במסגרת הליכי גבייה הנעשים באופן לא תקין.</w:t>
      </w:r>
      <w:r w:rsidRPr="006F160F">
        <w:rPr>
          <w:rtl/>
        </w:rPr>
        <w:t xml:space="preserve"> כמו כן</w:t>
      </w:r>
      <w:r>
        <w:rPr>
          <w:rtl/>
        </w:rPr>
        <w:t>,</w:t>
      </w:r>
      <w:r w:rsidRPr="006F160F">
        <w:rPr>
          <w:rtl/>
        </w:rPr>
        <w:t xml:space="preserve"> </w:t>
      </w:r>
      <w:r>
        <w:rPr>
          <w:rtl/>
        </w:rPr>
        <w:t xml:space="preserve">צרכנים מקבלים </w:t>
      </w:r>
      <w:r w:rsidRPr="006F160F">
        <w:rPr>
          <w:rtl/>
        </w:rPr>
        <w:t>מכתבים מאיימים ב</w:t>
      </w:r>
      <w:r>
        <w:rPr>
          <w:rtl/>
        </w:rPr>
        <w:t xml:space="preserve">מסגרת </w:t>
      </w:r>
      <w:r w:rsidRPr="006F160F">
        <w:rPr>
          <w:rtl/>
        </w:rPr>
        <w:t xml:space="preserve">הליכי גבייה בהוצאה לפועל, פעמים </w:t>
      </w:r>
      <w:r>
        <w:rPr>
          <w:rtl/>
        </w:rPr>
        <w:t xml:space="preserve">רבות </w:t>
      </w:r>
      <w:r w:rsidRPr="006F160F">
        <w:rPr>
          <w:rtl/>
        </w:rPr>
        <w:t>על לא עוול בכפם</w:t>
      </w:r>
      <w:r>
        <w:rPr>
          <w:rtl/>
        </w:rPr>
        <w:t>,</w:t>
      </w:r>
      <w:r w:rsidRPr="006F160F">
        <w:rPr>
          <w:rtl/>
        </w:rPr>
        <w:t xml:space="preserve"> תוך שהם אינם מכירים כלל את החברה אשר בשמה טוענים עורכי הדין לחוב</w:t>
      </w:r>
      <w:r>
        <w:rPr>
          <w:rtl/>
        </w:rPr>
        <w:t>.</w:t>
      </w:r>
    </w:p>
    <w:p w:rsidR="003B4CA1" w:rsidRPr="006F160F" w:rsidRDefault="006D1977" w:rsidP="00C320FD">
      <w:pPr>
        <w:pStyle w:val="Hesber"/>
        <w:rPr>
          <w:rtl/>
        </w:rPr>
      </w:pPr>
      <w:r w:rsidRPr="006F160F">
        <w:rPr>
          <w:rtl/>
        </w:rPr>
        <w:t>נוסף על כך, כאשר מנסים החייבים לכאורה</w:t>
      </w:r>
      <w:r>
        <w:rPr>
          <w:rtl/>
        </w:rPr>
        <w:t>,</w:t>
      </w:r>
      <w:r w:rsidRPr="006F160F">
        <w:rPr>
          <w:rtl/>
        </w:rPr>
        <w:t xml:space="preserve"> ליצור קשר עם עורכי הדין</w:t>
      </w:r>
      <w:r>
        <w:rPr>
          <w:rtl/>
        </w:rPr>
        <w:t xml:space="preserve"> הם</w:t>
      </w:r>
      <w:r w:rsidRPr="006F160F">
        <w:rPr>
          <w:rtl/>
        </w:rPr>
        <w:t xml:space="preserve"> נתקלים בבירוקרטיה סבוכה, </w:t>
      </w:r>
      <w:r>
        <w:rPr>
          <w:rtl/>
        </w:rPr>
        <w:t>ב</w:t>
      </w:r>
      <w:r w:rsidRPr="006F160F">
        <w:rPr>
          <w:rtl/>
        </w:rPr>
        <w:t>יחס מזלזל ו</w:t>
      </w:r>
      <w:r>
        <w:rPr>
          <w:rtl/>
        </w:rPr>
        <w:t>ב</w:t>
      </w:r>
      <w:r w:rsidRPr="006F160F">
        <w:rPr>
          <w:rtl/>
        </w:rPr>
        <w:t>איומים חסרי תקדים בדרישה לתשלום החוב.</w:t>
      </w:r>
      <w:r w:rsidR="003B4CA1">
        <w:rPr>
          <w:rFonts w:hint="cs"/>
          <w:rtl/>
        </w:rPr>
        <w:t xml:space="preserve"> חלוף הזמן וה</w:t>
      </w:r>
      <w:r w:rsidR="00C320FD">
        <w:rPr>
          <w:rFonts w:hint="cs"/>
          <w:rtl/>
        </w:rPr>
        <w:t>י</w:t>
      </w:r>
      <w:r w:rsidR="003B4CA1">
        <w:rPr>
          <w:rFonts w:hint="cs"/>
          <w:rtl/>
        </w:rPr>
        <w:t xml:space="preserve">עדר המידע בדבר החוב, אף גורם לצרכנים </w:t>
      </w:r>
      <w:r w:rsidR="003B4CA1" w:rsidRPr="006F160F">
        <w:rPr>
          <w:rtl/>
        </w:rPr>
        <w:t>הוצאות ניכרות בגין צורך בייעוץ או בשירות משפטי.</w:t>
      </w:r>
    </w:p>
    <w:p w:rsidR="006D1977" w:rsidRPr="006F160F" w:rsidRDefault="006D1977" w:rsidP="00C320FD">
      <w:pPr>
        <w:pStyle w:val="Hesber"/>
        <w:rPr>
          <w:rtl/>
        </w:rPr>
      </w:pPr>
      <w:r w:rsidRPr="006F160F">
        <w:rPr>
          <w:rtl/>
        </w:rPr>
        <w:t>הצע</w:t>
      </w:r>
      <w:r>
        <w:rPr>
          <w:rtl/>
        </w:rPr>
        <w:t>ת</w:t>
      </w:r>
      <w:r w:rsidRPr="006F160F">
        <w:rPr>
          <w:rtl/>
        </w:rPr>
        <w:t xml:space="preserve"> </w:t>
      </w:r>
      <w:r>
        <w:rPr>
          <w:rtl/>
        </w:rPr>
        <w:t>החוק נועדה</w:t>
      </w:r>
      <w:r w:rsidRPr="006F160F">
        <w:rPr>
          <w:rtl/>
        </w:rPr>
        <w:t xml:space="preserve"> להסדיר את אופן </w:t>
      </w:r>
      <w:r>
        <w:rPr>
          <w:rtl/>
        </w:rPr>
        <w:t>משלוח ה</w:t>
      </w:r>
      <w:r w:rsidRPr="006F160F">
        <w:rPr>
          <w:rtl/>
        </w:rPr>
        <w:t xml:space="preserve">דרישות </w:t>
      </w:r>
      <w:r>
        <w:rPr>
          <w:rtl/>
        </w:rPr>
        <w:t xml:space="preserve">לתשלום </w:t>
      </w:r>
      <w:r w:rsidRPr="006F160F">
        <w:rPr>
          <w:rtl/>
        </w:rPr>
        <w:t>חוב</w:t>
      </w:r>
      <w:r>
        <w:rPr>
          <w:rtl/>
        </w:rPr>
        <w:t>.</w:t>
      </w:r>
      <w:r w:rsidRPr="006F160F">
        <w:rPr>
          <w:rtl/>
        </w:rPr>
        <w:t xml:space="preserve"> </w:t>
      </w:r>
      <w:r>
        <w:rPr>
          <w:rtl/>
        </w:rPr>
        <w:t>לפי המוצע,</w:t>
      </w:r>
      <w:r w:rsidRPr="006F160F">
        <w:rPr>
          <w:rtl/>
        </w:rPr>
        <w:t xml:space="preserve"> לפני כל </w:t>
      </w:r>
      <w:r>
        <w:rPr>
          <w:rtl/>
        </w:rPr>
        <w:t>נקיטת</w:t>
      </w:r>
      <w:r w:rsidRPr="006F160F">
        <w:rPr>
          <w:rtl/>
        </w:rPr>
        <w:t xml:space="preserve"> הליך גבייה</w:t>
      </w:r>
      <w:r>
        <w:rPr>
          <w:rtl/>
        </w:rPr>
        <w:t>, לרבות נקיטה בהליכים משפטיים,</w:t>
      </w:r>
      <w:r w:rsidRPr="006F160F">
        <w:rPr>
          <w:rtl/>
        </w:rPr>
        <w:t xml:space="preserve"> העוסק יהיה חייב לשלוח לצרכן מכתב ובו יופיעו שם העוסק, פירוט החוב </w:t>
      </w:r>
      <w:r>
        <w:rPr>
          <w:rtl/>
        </w:rPr>
        <w:t xml:space="preserve">ואופן חישובו </w:t>
      </w:r>
      <w:r w:rsidRPr="006F160F">
        <w:rPr>
          <w:rtl/>
        </w:rPr>
        <w:t>והוכחה לקיומה של עסקה</w:t>
      </w:r>
      <w:r>
        <w:rPr>
          <w:rtl/>
        </w:rPr>
        <w:t xml:space="preserve"> בין העוסק לצרכן</w:t>
      </w:r>
      <w:r w:rsidRPr="006F160F">
        <w:rPr>
          <w:rtl/>
        </w:rPr>
        <w:t>.</w:t>
      </w:r>
    </w:p>
    <w:p w:rsidR="006D1977" w:rsidRDefault="0093420B" w:rsidP="00C320FD">
      <w:pPr>
        <w:pStyle w:val="Hesber"/>
        <w:rPr>
          <w:rtl/>
        </w:rPr>
      </w:pPr>
      <w:r>
        <w:rPr>
          <w:rFonts w:hint="cs"/>
          <w:rtl/>
        </w:rPr>
        <w:t xml:space="preserve">הצעת החוק תבטיח כי לצרכן יהיה מידע מלא כדי להתמודד עם הליכי הגבייה של העוסק, אף אם אלו ננקטים שנים רבות לאחר היווצרות החוב לכאורה. </w:t>
      </w:r>
      <w:r w:rsidR="007471CE">
        <w:rPr>
          <w:rFonts w:hint="cs"/>
          <w:rtl/>
        </w:rPr>
        <w:t>מהלך זה יאפשר ל</w:t>
      </w:r>
      <w:r w:rsidR="006D1977" w:rsidRPr="006F160F">
        <w:rPr>
          <w:rtl/>
        </w:rPr>
        <w:t xml:space="preserve">צרכנים </w:t>
      </w:r>
      <w:r w:rsidR="007471CE">
        <w:rPr>
          <w:rFonts w:hint="cs"/>
          <w:rtl/>
        </w:rPr>
        <w:t>ה</w:t>
      </w:r>
      <w:r w:rsidR="006D1977" w:rsidRPr="006F160F">
        <w:rPr>
          <w:rtl/>
        </w:rPr>
        <w:t>נדרשים לשלם ואינם יודעים או אינם זוכרים בכלל את</w:t>
      </w:r>
      <w:r w:rsidR="006D1977" w:rsidRPr="006F160F">
        <w:t> </w:t>
      </w:r>
      <w:r w:rsidR="006D1977" w:rsidRPr="006F160F">
        <w:rPr>
          <w:rtl/>
        </w:rPr>
        <w:t>דבר קיומה של העסקה</w:t>
      </w:r>
      <w:r w:rsidR="007471CE">
        <w:rPr>
          <w:rFonts w:hint="cs"/>
          <w:rtl/>
        </w:rPr>
        <w:t>,</w:t>
      </w:r>
      <w:r w:rsidR="006D1977" w:rsidRPr="006F160F">
        <w:rPr>
          <w:rtl/>
        </w:rPr>
        <w:t xml:space="preserve"> </w:t>
      </w:r>
      <w:r w:rsidR="006D1977">
        <w:rPr>
          <w:rtl/>
        </w:rPr>
        <w:t>להתגונן נגדה</w:t>
      </w:r>
      <w:r w:rsidR="006D1977" w:rsidRPr="006F160F">
        <w:rPr>
          <w:rtl/>
        </w:rPr>
        <w:t xml:space="preserve"> כדין. מתן המידע </w:t>
      </w:r>
      <w:r w:rsidR="003B4CA1">
        <w:rPr>
          <w:rFonts w:hint="cs"/>
          <w:rtl/>
        </w:rPr>
        <w:t xml:space="preserve">על-ידי העוסק בנוגע לחוב </w:t>
      </w:r>
      <w:r w:rsidR="006D1977" w:rsidRPr="006F160F">
        <w:rPr>
          <w:rtl/>
        </w:rPr>
        <w:t>יעלה את הסיכוי ש</w:t>
      </w:r>
      <w:r w:rsidR="003B4CA1">
        <w:rPr>
          <w:rFonts w:hint="cs"/>
          <w:rtl/>
        </w:rPr>
        <w:t xml:space="preserve">העוסק יימנע מגביית </w:t>
      </w:r>
      <w:r w:rsidR="006D1977" w:rsidRPr="006F160F">
        <w:rPr>
          <w:rtl/>
        </w:rPr>
        <w:t>חוב לא מדויק או לא נכון ו</w:t>
      </w:r>
      <w:r w:rsidR="003B4CA1">
        <w:rPr>
          <w:rFonts w:hint="cs"/>
          <w:rtl/>
        </w:rPr>
        <w:t xml:space="preserve">אף </w:t>
      </w:r>
      <w:r w:rsidR="006D1977">
        <w:rPr>
          <w:rtl/>
        </w:rPr>
        <w:t>י</w:t>
      </w:r>
      <w:r w:rsidR="006D1977" w:rsidRPr="006F160F">
        <w:rPr>
          <w:rtl/>
        </w:rPr>
        <w:t>מנע עשיית רווח מופרז של עורכי דין על חשבון הלקוחות, כאשר הדבר</w:t>
      </w:r>
      <w:r w:rsidR="006D1977" w:rsidRPr="006F160F">
        <w:t> </w:t>
      </w:r>
      <w:r w:rsidR="006D1977">
        <w:rPr>
          <w:rtl/>
        </w:rPr>
        <w:t>אינו באמת נדרש.</w:t>
      </w:r>
    </w:p>
    <w:p w:rsidR="00E13C27" w:rsidRDefault="006D1977" w:rsidP="00E13C27">
      <w:pPr>
        <w:pStyle w:val="Hesber"/>
        <w:rPr>
          <w:rtl/>
        </w:rPr>
      </w:pPr>
      <w:r>
        <w:rPr>
          <w:rFonts w:hint="cs"/>
          <w:rtl/>
        </w:rPr>
        <w:t>הצעת חוק זהה הונחה על שולחן הכנסת התשע-עשרה על ידי חבר הכנסת בועז טופורובסקי (</w:t>
      </w:r>
      <w:r>
        <w:rPr>
          <w:sz w:val="26"/>
          <w:rtl/>
        </w:rPr>
        <w:t>פ/2562/19</w:t>
      </w:r>
      <w:r>
        <w:rPr>
          <w:rFonts w:hint="cs"/>
          <w:sz w:val="26"/>
          <w:rtl/>
        </w:rPr>
        <w:t>).</w:t>
      </w:r>
    </w:p>
    <w:p w:rsidR="00E91C97" w:rsidRDefault="00E91C97" w:rsidP="00E13C27">
      <w:pPr>
        <w:pStyle w:val="Hesber"/>
        <w:rPr>
          <w:rtl/>
        </w:rPr>
      </w:pPr>
    </w:p>
    <w:p w:rsidR="00E91C97" w:rsidRDefault="00E91C97" w:rsidP="00E13C27">
      <w:pPr>
        <w:pStyle w:val="Hesber"/>
        <w:rPr>
          <w:rtl/>
        </w:rPr>
      </w:pPr>
    </w:p>
    <w:p w:rsidR="00E91C97" w:rsidRPr="00557D2C" w:rsidRDefault="00E91C97" w:rsidP="007D273A">
      <w:pPr>
        <w:pStyle w:val="Hesber"/>
        <w:rPr>
          <w:rtl/>
        </w:rPr>
      </w:pPr>
      <w:r w:rsidRPr="00557D2C">
        <w:rPr>
          <w:rtl/>
        </w:rPr>
        <w:t>---------------------------------</w:t>
      </w:r>
    </w:p>
    <w:p w:rsidR="00E91C97" w:rsidRPr="00557D2C" w:rsidRDefault="00E91C97" w:rsidP="007D273A">
      <w:pPr>
        <w:pStyle w:val="Hesber"/>
        <w:rPr>
          <w:rtl/>
        </w:rPr>
      </w:pPr>
      <w:r w:rsidRPr="00557D2C">
        <w:rPr>
          <w:rtl/>
        </w:rPr>
        <w:t>הוגשה ליו"ר הכנסת והסגנים</w:t>
      </w:r>
    </w:p>
    <w:p w:rsidR="00E91C97" w:rsidRPr="00557D2C" w:rsidRDefault="00E91C97" w:rsidP="007D273A">
      <w:pPr>
        <w:pStyle w:val="Hesber"/>
        <w:rPr>
          <w:rtl/>
        </w:rPr>
      </w:pPr>
      <w:r w:rsidRPr="00557D2C">
        <w:rPr>
          <w:rtl/>
        </w:rPr>
        <w:t>והונחה על שולחן הכנסת ביום</w:t>
      </w:r>
    </w:p>
    <w:p w:rsidR="00E91C97" w:rsidRDefault="00E91C97" w:rsidP="00E91C97">
      <w:pPr>
        <w:pStyle w:val="Hesber"/>
        <w:rPr>
          <w:rtl/>
        </w:rPr>
      </w:pPr>
      <w:r w:rsidRPr="00557D2C">
        <w:rPr>
          <w:rFonts w:hint="cs"/>
          <w:rtl/>
        </w:rPr>
        <w:t xml:space="preserve">ט"ו באייר התשע"ה </w:t>
      </w:r>
      <w:r w:rsidRPr="00557D2C">
        <w:rPr>
          <w:rtl/>
        </w:rPr>
        <w:t>–</w:t>
      </w:r>
      <w:r w:rsidRPr="00557D2C">
        <w:rPr>
          <w:rFonts w:hint="cs"/>
          <w:rtl/>
        </w:rPr>
        <w:t xml:space="preserve"> 4.5.15</w:t>
      </w:r>
    </w:p>
    <w:sectPr w:rsidR="00E91C97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19" w:rsidRDefault="004A3919">
      <w:r>
        <w:separator/>
      </w:r>
    </w:p>
  </w:endnote>
  <w:endnote w:type="continuationSeparator" w:id="0">
    <w:p w:rsidR="004A3919" w:rsidRDefault="004A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1A0623" w:rsidRDefault="001A06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E57240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:rsidR="001A0623" w:rsidRDefault="001A0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19" w:rsidRDefault="004A3919">
      <w:r>
        <w:separator/>
      </w:r>
    </w:p>
  </w:footnote>
  <w:footnote w:type="continuationSeparator" w:id="0">
    <w:p w:rsidR="004A3919" w:rsidRDefault="004A3919">
      <w:r>
        <w:continuationSeparator/>
      </w:r>
    </w:p>
  </w:footnote>
  <w:footnote w:type="continuationNotice" w:id="1">
    <w:p w:rsidR="004A3919" w:rsidRDefault="004A3919"/>
  </w:footnote>
  <w:footnote w:id="2">
    <w:p w:rsidR="006D1977" w:rsidRDefault="006D1977" w:rsidP="006D1977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התשמ"א, עמ' 248.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0FE2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203A7F"/>
    <w:rsid w:val="002200A1"/>
    <w:rsid w:val="002362BF"/>
    <w:rsid w:val="00241B97"/>
    <w:rsid w:val="00246756"/>
    <w:rsid w:val="00251E58"/>
    <w:rsid w:val="00254605"/>
    <w:rsid w:val="002728B4"/>
    <w:rsid w:val="0027600C"/>
    <w:rsid w:val="00292712"/>
    <w:rsid w:val="002A487D"/>
    <w:rsid w:val="002C2E29"/>
    <w:rsid w:val="002D1EE3"/>
    <w:rsid w:val="002F1D80"/>
    <w:rsid w:val="003232A2"/>
    <w:rsid w:val="00325C14"/>
    <w:rsid w:val="003710F6"/>
    <w:rsid w:val="00386E88"/>
    <w:rsid w:val="00396585"/>
    <w:rsid w:val="003B4CA1"/>
    <w:rsid w:val="003D74A0"/>
    <w:rsid w:val="004033D8"/>
    <w:rsid w:val="004073F0"/>
    <w:rsid w:val="00412A7D"/>
    <w:rsid w:val="00416B4D"/>
    <w:rsid w:val="00417CFC"/>
    <w:rsid w:val="004A3919"/>
    <w:rsid w:val="004B24ED"/>
    <w:rsid w:val="004D2D82"/>
    <w:rsid w:val="004D3876"/>
    <w:rsid w:val="004E4552"/>
    <w:rsid w:val="00553C9D"/>
    <w:rsid w:val="00562A66"/>
    <w:rsid w:val="005B064E"/>
    <w:rsid w:val="005D51AE"/>
    <w:rsid w:val="005F6ECD"/>
    <w:rsid w:val="0062674B"/>
    <w:rsid w:val="006363B2"/>
    <w:rsid w:val="00644940"/>
    <w:rsid w:val="006818A9"/>
    <w:rsid w:val="006A2D81"/>
    <w:rsid w:val="006C1D0D"/>
    <w:rsid w:val="006D1977"/>
    <w:rsid w:val="0070601E"/>
    <w:rsid w:val="00707846"/>
    <w:rsid w:val="00712C72"/>
    <w:rsid w:val="00735FE9"/>
    <w:rsid w:val="007471CE"/>
    <w:rsid w:val="00763CAA"/>
    <w:rsid w:val="00765F66"/>
    <w:rsid w:val="007A21C6"/>
    <w:rsid w:val="007C3FA6"/>
    <w:rsid w:val="007D585A"/>
    <w:rsid w:val="007D5A12"/>
    <w:rsid w:val="007E59F9"/>
    <w:rsid w:val="00810BCD"/>
    <w:rsid w:val="00812C98"/>
    <w:rsid w:val="00814D92"/>
    <w:rsid w:val="0083181D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2C35"/>
    <w:rsid w:val="008F6665"/>
    <w:rsid w:val="0091204F"/>
    <w:rsid w:val="009203DB"/>
    <w:rsid w:val="00923CD4"/>
    <w:rsid w:val="0093420B"/>
    <w:rsid w:val="00943386"/>
    <w:rsid w:val="009456B6"/>
    <w:rsid w:val="00957589"/>
    <w:rsid w:val="00966D06"/>
    <w:rsid w:val="00982412"/>
    <w:rsid w:val="00983A8D"/>
    <w:rsid w:val="009A7257"/>
    <w:rsid w:val="009D6E0A"/>
    <w:rsid w:val="00A14672"/>
    <w:rsid w:val="00A26BD6"/>
    <w:rsid w:val="00A443CF"/>
    <w:rsid w:val="00A6611D"/>
    <w:rsid w:val="00A82CB7"/>
    <w:rsid w:val="00AA2F03"/>
    <w:rsid w:val="00AC36F7"/>
    <w:rsid w:val="00AC63A4"/>
    <w:rsid w:val="00AD239E"/>
    <w:rsid w:val="00B10265"/>
    <w:rsid w:val="00B21211"/>
    <w:rsid w:val="00B35784"/>
    <w:rsid w:val="00B733A7"/>
    <w:rsid w:val="00B975AD"/>
    <w:rsid w:val="00BC45FB"/>
    <w:rsid w:val="00BF148D"/>
    <w:rsid w:val="00C23B1A"/>
    <w:rsid w:val="00C310EB"/>
    <w:rsid w:val="00C320FD"/>
    <w:rsid w:val="00C9176A"/>
    <w:rsid w:val="00CF1AA2"/>
    <w:rsid w:val="00D63620"/>
    <w:rsid w:val="00D8410D"/>
    <w:rsid w:val="00D867D7"/>
    <w:rsid w:val="00DB7060"/>
    <w:rsid w:val="00DE3153"/>
    <w:rsid w:val="00E06736"/>
    <w:rsid w:val="00E13C27"/>
    <w:rsid w:val="00E33BBD"/>
    <w:rsid w:val="00E45103"/>
    <w:rsid w:val="00E57240"/>
    <w:rsid w:val="00E665B9"/>
    <w:rsid w:val="00E91C97"/>
    <w:rsid w:val="00EA01E6"/>
    <w:rsid w:val="00EA3DE8"/>
    <w:rsid w:val="00EA758F"/>
    <w:rsid w:val="00ED330A"/>
    <w:rsid w:val="00ED4A6F"/>
    <w:rsid w:val="00EF3A3A"/>
    <w:rsid w:val="00F628D6"/>
    <w:rsid w:val="00F65832"/>
    <w:rsid w:val="00F67051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uiPriority w:val="99"/>
    <w:locked/>
    <w:rsid w:val="006D1977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uiPriority w:val="99"/>
    <w:locked/>
    <w:rsid w:val="006D1977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075D-7A96-4037-8146-AA9275F49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5DECD-6769-424A-BB50-52F75327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דפנה ברנאי</cp:lastModifiedBy>
  <cp:revision>7</cp:revision>
  <cp:lastPrinted>2015-04-30T13:50:00Z</cp:lastPrinted>
  <dcterms:created xsi:type="dcterms:W3CDTF">2015-03-26T08:06:00Z</dcterms:created>
  <dcterms:modified xsi:type="dcterms:W3CDTF">2015-04-30T13:50:00Z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0354fdee-f711-4d2a-9cf2-2d1c4d9ac92a</vt:lpwstr>
  </property>
  <property fmtid="{D5CDD505-2E9C-101B-9397-08002B2CF9AE}" pid="4" name="SanhedrinDocumentType">
    <vt:r8>10</vt:r8>
  </property>
  <property fmtid="{D5CDD505-2E9C-101B-9397-08002B2CF9AE}" pid="5" name="SanhedrinItemID">
    <vt:r8>562899</vt:r8>
  </property>
</Properties>
</file>