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7C2" w:rsidRDefault="00A827C2" w:rsidP="002312DF">
      <w:pPr>
        <w:ind w:left="720"/>
        <w:jc w:val="both"/>
        <w:rPr>
          <w:rFonts w:hint="cs"/>
          <w:rtl/>
        </w:rPr>
      </w:pPr>
    </w:p>
    <w:p w:rsidR="005F3012" w:rsidRDefault="005F3012" w:rsidP="00E8262E">
      <w:pPr>
        <w:spacing w:line="360" w:lineRule="auto"/>
        <w:jc w:val="center"/>
        <w:rPr>
          <w:rFonts w:cs="David"/>
          <w:b/>
          <w:bCs/>
          <w:sz w:val="28"/>
          <w:szCs w:val="28"/>
          <w:u w:val="single"/>
          <w:rtl/>
        </w:rPr>
      </w:pPr>
    </w:p>
    <w:p w:rsidR="00573CB4" w:rsidRPr="00E81770" w:rsidRDefault="00573CB4" w:rsidP="007520E8">
      <w:pPr>
        <w:spacing w:line="360" w:lineRule="auto"/>
        <w:jc w:val="center"/>
        <w:rPr>
          <w:rFonts w:cs="David"/>
          <w:b/>
          <w:bCs/>
          <w:sz w:val="28"/>
          <w:szCs w:val="28"/>
          <w:u w:val="single"/>
          <w:rtl/>
        </w:rPr>
      </w:pPr>
      <w:r w:rsidRPr="00E81770">
        <w:rPr>
          <w:rFonts w:cs="David" w:hint="cs"/>
          <w:b/>
          <w:bCs/>
          <w:sz w:val="28"/>
          <w:szCs w:val="28"/>
          <w:u w:val="single"/>
          <w:rtl/>
        </w:rPr>
        <w:t>תקנות הגנת הצרכן (</w:t>
      </w:r>
      <w:r w:rsidR="00D966B6">
        <w:rPr>
          <w:rFonts w:cs="David" w:hint="cs"/>
          <w:b/>
          <w:bCs/>
          <w:sz w:val="28"/>
          <w:szCs w:val="28"/>
          <w:u w:val="single"/>
          <w:rtl/>
        </w:rPr>
        <w:t>הפחתה של סכומי</w:t>
      </w:r>
      <w:r w:rsidR="00304E82">
        <w:rPr>
          <w:rFonts w:cs="David" w:hint="cs"/>
          <w:b/>
          <w:bCs/>
          <w:sz w:val="28"/>
          <w:szCs w:val="28"/>
          <w:u w:val="single"/>
          <w:rtl/>
        </w:rPr>
        <w:t xml:space="preserve"> העיצום הכספי</w:t>
      </w:r>
      <w:r w:rsidRPr="00E81770">
        <w:rPr>
          <w:rFonts w:cs="David" w:hint="cs"/>
          <w:b/>
          <w:bCs/>
          <w:sz w:val="28"/>
          <w:szCs w:val="28"/>
          <w:u w:val="single"/>
          <w:rtl/>
        </w:rPr>
        <w:t>), התשע"</w:t>
      </w:r>
      <w:r w:rsidR="007520E8">
        <w:rPr>
          <w:rFonts w:cs="David" w:hint="cs"/>
          <w:b/>
          <w:bCs/>
          <w:sz w:val="28"/>
          <w:szCs w:val="28"/>
          <w:u w:val="single"/>
          <w:rtl/>
        </w:rPr>
        <w:t>ה</w:t>
      </w:r>
      <w:r w:rsidRPr="00E81770">
        <w:rPr>
          <w:rFonts w:cs="David" w:hint="cs"/>
          <w:b/>
          <w:bCs/>
          <w:sz w:val="28"/>
          <w:szCs w:val="28"/>
          <w:u w:val="single"/>
          <w:rtl/>
        </w:rPr>
        <w:t xml:space="preserve"> </w:t>
      </w:r>
      <w:r w:rsidRPr="00E81770">
        <w:rPr>
          <w:rFonts w:cs="David"/>
          <w:b/>
          <w:bCs/>
          <w:sz w:val="28"/>
          <w:szCs w:val="28"/>
          <w:u w:val="single"/>
          <w:rtl/>
        </w:rPr>
        <w:t>–</w:t>
      </w:r>
      <w:r w:rsidRPr="00E81770">
        <w:rPr>
          <w:rFonts w:cs="David" w:hint="cs"/>
          <w:b/>
          <w:bCs/>
          <w:sz w:val="28"/>
          <w:szCs w:val="28"/>
          <w:u w:val="single"/>
          <w:rtl/>
        </w:rPr>
        <w:t xml:space="preserve"> </w:t>
      </w:r>
      <w:r w:rsidR="00E8262E">
        <w:rPr>
          <w:rFonts w:cs="David" w:hint="cs"/>
          <w:b/>
          <w:bCs/>
          <w:sz w:val="28"/>
          <w:szCs w:val="28"/>
          <w:u w:val="single"/>
          <w:rtl/>
        </w:rPr>
        <w:t>2014</w:t>
      </w:r>
    </w:p>
    <w:p w:rsidR="00573CB4" w:rsidRDefault="00573CB4" w:rsidP="00E81770">
      <w:pPr>
        <w:spacing w:line="360" w:lineRule="auto"/>
        <w:jc w:val="both"/>
        <w:rPr>
          <w:rFonts w:cs="David"/>
          <w:b/>
          <w:bCs/>
          <w:u w:val="single"/>
          <w:rtl/>
        </w:rPr>
      </w:pPr>
    </w:p>
    <w:p w:rsidR="00573CB4" w:rsidRPr="00573CB4" w:rsidRDefault="00573CB4" w:rsidP="00E81770">
      <w:pPr>
        <w:spacing w:line="360" w:lineRule="auto"/>
        <w:jc w:val="both"/>
        <w:rPr>
          <w:rFonts w:cs="David"/>
          <w:rtl/>
        </w:rPr>
      </w:pPr>
      <w:r>
        <w:rPr>
          <w:rFonts w:cs="David" w:hint="cs"/>
          <w:rtl/>
        </w:rPr>
        <w:t xml:space="preserve">בתוקף סמכותי לפי סעיף 22ח לחוק הגנת הצרכן, התשמ"א </w:t>
      </w:r>
      <w:r>
        <w:rPr>
          <w:rFonts w:cs="David"/>
          <w:rtl/>
        </w:rPr>
        <w:t>–</w:t>
      </w:r>
      <w:r>
        <w:rPr>
          <w:rFonts w:cs="David" w:hint="cs"/>
          <w:rtl/>
        </w:rPr>
        <w:t xml:space="preserve"> 1981</w:t>
      </w:r>
      <w:r w:rsidR="00CE6BAA">
        <w:rPr>
          <w:rFonts w:cs="David" w:hint="cs"/>
          <w:rtl/>
        </w:rPr>
        <w:t>,</w:t>
      </w:r>
      <w:r>
        <w:rPr>
          <w:rFonts w:cs="David" w:hint="cs"/>
          <w:rtl/>
        </w:rPr>
        <w:t xml:space="preserve"> </w:t>
      </w:r>
      <w:r>
        <w:rPr>
          <w:rStyle w:val="ac"/>
          <w:rFonts w:cs="David"/>
          <w:rtl/>
        </w:rPr>
        <w:footnoteReference w:id="1"/>
      </w:r>
      <w:r>
        <w:rPr>
          <w:rFonts w:cs="David" w:hint="cs"/>
          <w:rtl/>
        </w:rPr>
        <w:t xml:space="preserve"> בהסכמת שר המשפטים ובאישור ועדת הכלכלה של הכנסת, אני מתקין תקנות אלה:</w:t>
      </w:r>
    </w:p>
    <w:p w:rsidR="00573CB4" w:rsidRDefault="00573CB4" w:rsidP="00E81770">
      <w:pPr>
        <w:spacing w:line="360" w:lineRule="auto"/>
        <w:jc w:val="both"/>
        <w:rPr>
          <w:rtl/>
        </w:rPr>
      </w:pPr>
    </w:p>
    <w:tbl>
      <w:tblPr>
        <w:tblStyle w:val="a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8"/>
        <w:gridCol w:w="992"/>
        <w:gridCol w:w="6062"/>
      </w:tblGrid>
      <w:tr w:rsidR="00573CB4" w:rsidTr="001A122A">
        <w:tc>
          <w:tcPr>
            <w:tcW w:w="1468" w:type="dxa"/>
          </w:tcPr>
          <w:p w:rsidR="00573CB4" w:rsidRPr="00573CB4" w:rsidRDefault="00573CB4" w:rsidP="00E81770">
            <w:pPr>
              <w:spacing w:line="360" w:lineRule="auto"/>
              <w:jc w:val="both"/>
              <w:rPr>
                <w:rFonts w:cs="David"/>
                <w:rtl/>
              </w:rPr>
            </w:pPr>
            <w:r>
              <w:rPr>
                <w:rFonts w:cs="David" w:hint="cs"/>
                <w:rtl/>
              </w:rPr>
              <w:t>הגדרות</w:t>
            </w:r>
          </w:p>
        </w:tc>
        <w:tc>
          <w:tcPr>
            <w:tcW w:w="7054" w:type="dxa"/>
            <w:gridSpan w:val="2"/>
          </w:tcPr>
          <w:p w:rsidR="00573CB4" w:rsidRDefault="00B649ED" w:rsidP="00E81770">
            <w:pPr>
              <w:numPr>
                <w:ilvl w:val="0"/>
                <w:numId w:val="1"/>
              </w:numPr>
              <w:spacing w:line="360" w:lineRule="auto"/>
              <w:jc w:val="both"/>
              <w:rPr>
                <w:rFonts w:cs="David"/>
              </w:rPr>
            </w:pPr>
            <w:r w:rsidRPr="00B649ED">
              <w:rPr>
                <w:rFonts w:cs="David" w:hint="cs"/>
                <w:rtl/>
              </w:rPr>
              <w:t xml:space="preserve">"אישור רואה חשבון" </w:t>
            </w:r>
            <w:r>
              <w:rPr>
                <w:rFonts w:cs="David"/>
                <w:rtl/>
              </w:rPr>
              <w:t>–</w:t>
            </w:r>
            <w:r w:rsidRPr="00B649ED">
              <w:rPr>
                <w:rFonts w:cs="David" w:hint="cs"/>
                <w:rtl/>
              </w:rPr>
              <w:t xml:space="preserve"> </w:t>
            </w:r>
            <w:r>
              <w:rPr>
                <w:rFonts w:cs="David" w:hint="cs"/>
                <w:rtl/>
              </w:rPr>
              <w:t xml:space="preserve">אישור שנתן רואה חשבון מבקר, שאינו מצוי בניגוד עניינים כלפי העוסק ואינו תלוי בו, בין במישרין ובין בעקיפין, לפי תקנות רואי חשבון (ניגוד עניינים ופגיעה באי תלות כתוצאה מעיסוק אחר), התשס"ח - 2008 </w:t>
            </w:r>
            <w:r>
              <w:rPr>
                <w:rStyle w:val="ac"/>
                <w:rFonts w:cs="David"/>
                <w:rtl/>
              </w:rPr>
              <w:footnoteReference w:id="2"/>
            </w:r>
            <w:r w:rsidR="00304E82">
              <w:rPr>
                <w:rFonts w:cs="David" w:hint="cs"/>
                <w:rtl/>
              </w:rPr>
              <w:t>, בין במישרין ובין בעקיפין</w:t>
            </w:r>
            <w:r w:rsidR="00304E82">
              <w:rPr>
                <w:rFonts w:cs="David"/>
              </w:rPr>
              <w:t xml:space="preserve"> </w:t>
            </w:r>
            <w:r w:rsidR="00AB3410">
              <w:rPr>
                <w:rFonts w:cs="David"/>
              </w:rPr>
              <w:t>;</w:t>
            </w:r>
          </w:p>
          <w:p w:rsidR="00AB3410" w:rsidRPr="00B649ED" w:rsidRDefault="00AB3410" w:rsidP="00E81770">
            <w:pPr>
              <w:spacing w:line="360" w:lineRule="auto"/>
              <w:ind w:left="720"/>
              <w:jc w:val="both"/>
              <w:rPr>
                <w:rFonts w:cs="David"/>
                <w:rtl/>
              </w:rPr>
            </w:pPr>
            <w:r>
              <w:rPr>
                <w:rFonts w:cs="David" w:hint="cs"/>
                <w:rtl/>
              </w:rPr>
              <w:t xml:space="preserve">"מחזור עסקאות" </w:t>
            </w:r>
            <w:r>
              <w:rPr>
                <w:rFonts w:cs="David"/>
                <w:rtl/>
              </w:rPr>
              <w:t>–</w:t>
            </w:r>
            <w:r>
              <w:rPr>
                <w:rFonts w:cs="David" w:hint="cs"/>
                <w:rtl/>
              </w:rPr>
              <w:t xml:space="preserve"> כהגדרתו בחוק מס ערך מוסף, התשל"ו </w:t>
            </w:r>
            <w:r>
              <w:rPr>
                <w:rFonts w:cs="David"/>
                <w:rtl/>
              </w:rPr>
              <w:t>–</w:t>
            </w:r>
            <w:r>
              <w:rPr>
                <w:rFonts w:cs="David" w:hint="cs"/>
                <w:rtl/>
              </w:rPr>
              <w:t xml:space="preserve"> 1975 </w:t>
            </w:r>
            <w:r>
              <w:rPr>
                <w:rStyle w:val="ac"/>
                <w:rFonts w:cs="David"/>
                <w:rtl/>
              </w:rPr>
              <w:footnoteReference w:id="3"/>
            </w:r>
            <w:r w:rsidR="00E81770">
              <w:rPr>
                <w:rFonts w:cs="David" w:hint="cs"/>
                <w:rtl/>
              </w:rPr>
              <w:t>.</w:t>
            </w:r>
          </w:p>
        </w:tc>
      </w:tr>
      <w:tr w:rsidR="00E81770" w:rsidTr="001A122A">
        <w:tc>
          <w:tcPr>
            <w:tcW w:w="1468" w:type="dxa"/>
          </w:tcPr>
          <w:p w:rsidR="00E81770" w:rsidRDefault="00E81770" w:rsidP="00E81770">
            <w:pPr>
              <w:spacing w:line="360" w:lineRule="auto"/>
              <w:jc w:val="both"/>
              <w:rPr>
                <w:rFonts w:cs="David"/>
                <w:rtl/>
              </w:rPr>
            </w:pPr>
          </w:p>
        </w:tc>
        <w:tc>
          <w:tcPr>
            <w:tcW w:w="7054" w:type="dxa"/>
            <w:gridSpan w:val="2"/>
          </w:tcPr>
          <w:p w:rsidR="00E81770" w:rsidRPr="00B649ED" w:rsidRDefault="00E81770" w:rsidP="00E81770">
            <w:pPr>
              <w:spacing w:line="360" w:lineRule="auto"/>
              <w:ind w:left="720"/>
              <w:jc w:val="both"/>
              <w:rPr>
                <w:rFonts w:cs="David"/>
                <w:rtl/>
              </w:rPr>
            </w:pPr>
          </w:p>
        </w:tc>
      </w:tr>
      <w:tr w:rsidR="00573CB4" w:rsidTr="001A122A">
        <w:tc>
          <w:tcPr>
            <w:tcW w:w="1468" w:type="dxa"/>
          </w:tcPr>
          <w:p w:rsidR="00573CB4" w:rsidRPr="00573CB4" w:rsidRDefault="00CE6BAA" w:rsidP="00E81770">
            <w:pPr>
              <w:spacing w:line="360" w:lineRule="auto"/>
              <w:jc w:val="both"/>
              <w:rPr>
                <w:rFonts w:cs="David"/>
                <w:rtl/>
              </w:rPr>
            </w:pPr>
            <w:r>
              <w:rPr>
                <w:rFonts w:cs="David" w:hint="cs"/>
                <w:rtl/>
              </w:rPr>
              <w:t>הפחתת סכומי העיצום הכספי</w:t>
            </w:r>
          </w:p>
        </w:tc>
        <w:tc>
          <w:tcPr>
            <w:tcW w:w="7054" w:type="dxa"/>
            <w:gridSpan w:val="2"/>
          </w:tcPr>
          <w:p w:rsidR="00573CB4" w:rsidRPr="00573CB4" w:rsidRDefault="00CB1AC8" w:rsidP="00CE6BAA">
            <w:pPr>
              <w:numPr>
                <w:ilvl w:val="0"/>
                <w:numId w:val="1"/>
              </w:numPr>
              <w:spacing w:line="360" w:lineRule="auto"/>
              <w:jc w:val="both"/>
              <w:rPr>
                <w:rFonts w:cs="David"/>
                <w:rtl/>
              </w:rPr>
            </w:pPr>
            <w:r>
              <w:rPr>
                <w:rFonts w:cs="David" w:hint="cs"/>
                <w:rtl/>
              </w:rPr>
              <w:t xml:space="preserve">הממונה רשאי להפחית </w:t>
            </w:r>
            <w:r w:rsidR="00CE6BAA">
              <w:rPr>
                <w:rFonts w:cs="David" w:hint="cs"/>
                <w:rtl/>
              </w:rPr>
              <w:t>למפר</w:t>
            </w:r>
            <w:r>
              <w:rPr>
                <w:rFonts w:cs="David" w:hint="cs"/>
                <w:rtl/>
              </w:rPr>
              <w:t xml:space="preserve"> את סכום העיצום הכספי, בשיעורים שלהלן, אם התקיימה אחת או יותר מנסיבות אלה:</w:t>
            </w:r>
          </w:p>
        </w:tc>
      </w:tr>
      <w:tr w:rsidR="00CB1AC8" w:rsidTr="001A122A">
        <w:tc>
          <w:tcPr>
            <w:tcW w:w="1468" w:type="dxa"/>
          </w:tcPr>
          <w:p w:rsidR="00CB1AC8" w:rsidRDefault="00CB1AC8" w:rsidP="00E81770">
            <w:pPr>
              <w:spacing w:line="360" w:lineRule="auto"/>
              <w:jc w:val="both"/>
              <w:rPr>
                <w:rtl/>
              </w:rPr>
            </w:pPr>
          </w:p>
        </w:tc>
        <w:tc>
          <w:tcPr>
            <w:tcW w:w="992" w:type="dxa"/>
          </w:tcPr>
          <w:p w:rsidR="00CB1AC8" w:rsidRDefault="00CB1AC8" w:rsidP="00E81770">
            <w:pPr>
              <w:spacing w:line="360" w:lineRule="auto"/>
              <w:jc w:val="both"/>
              <w:rPr>
                <w:rtl/>
              </w:rPr>
            </w:pPr>
          </w:p>
        </w:tc>
        <w:tc>
          <w:tcPr>
            <w:tcW w:w="6062" w:type="dxa"/>
          </w:tcPr>
          <w:p w:rsidR="00CB1AC8" w:rsidRPr="00CB1AC8" w:rsidRDefault="00CE6BAA" w:rsidP="00CE6BAA">
            <w:pPr>
              <w:numPr>
                <w:ilvl w:val="0"/>
                <w:numId w:val="3"/>
              </w:numPr>
              <w:spacing w:line="360" w:lineRule="auto"/>
              <w:jc w:val="both"/>
              <w:rPr>
                <w:rFonts w:cs="David"/>
                <w:rtl/>
              </w:rPr>
            </w:pPr>
            <w:r>
              <w:rPr>
                <w:rFonts w:cs="David" w:hint="cs"/>
                <w:rtl/>
              </w:rPr>
              <w:t>המפר</w:t>
            </w:r>
            <w:r w:rsidR="00CB1AC8">
              <w:rPr>
                <w:rFonts w:cs="David" w:hint="cs"/>
                <w:rtl/>
              </w:rPr>
              <w:t xml:space="preserve"> הפסיק את ההפרה</w:t>
            </w:r>
            <w:r>
              <w:rPr>
                <w:rFonts w:cs="David" w:hint="cs"/>
                <w:rtl/>
              </w:rPr>
              <w:t xml:space="preserve"> מיוזמתו ודיווח עליה</w:t>
            </w:r>
            <w:r w:rsidR="00CB1AC8">
              <w:rPr>
                <w:rFonts w:cs="David" w:hint="cs"/>
                <w:rtl/>
              </w:rPr>
              <w:t xml:space="preserve"> לממונה</w:t>
            </w:r>
            <w:r w:rsidR="00302F74">
              <w:rPr>
                <w:rFonts w:cs="David" w:hint="cs"/>
                <w:rtl/>
              </w:rPr>
              <w:t xml:space="preserve"> </w:t>
            </w:r>
            <w:r w:rsidR="00302F74">
              <w:rPr>
                <w:rFonts w:cs="David"/>
                <w:rtl/>
              </w:rPr>
              <w:t>–</w:t>
            </w:r>
            <w:r w:rsidR="00302F74">
              <w:rPr>
                <w:rFonts w:cs="David" w:hint="cs"/>
                <w:rtl/>
              </w:rPr>
              <w:t xml:space="preserve"> </w:t>
            </w:r>
            <w:r w:rsidR="00302F74" w:rsidRPr="00CE6BAA">
              <w:rPr>
                <w:rFonts w:cs="David" w:hint="cs"/>
                <w:rtl/>
              </w:rPr>
              <w:t>2</w:t>
            </w:r>
            <w:r w:rsidR="00FC034B" w:rsidRPr="00CE6BAA">
              <w:rPr>
                <w:rFonts w:cs="David" w:hint="cs"/>
                <w:rtl/>
              </w:rPr>
              <w:t>0</w:t>
            </w:r>
            <w:r w:rsidR="00302F74" w:rsidRPr="00CE6BAA">
              <w:rPr>
                <w:rFonts w:cs="David" w:hint="cs"/>
                <w:rtl/>
              </w:rPr>
              <w:t>%</w:t>
            </w:r>
            <w:r w:rsidR="00CB1AC8">
              <w:rPr>
                <w:rFonts w:cs="David" w:hint="cs"/>
                <w:rtl/>
              </w:rPr>
              <w:t xml:space="preserve"> </w:t>
            </w:r>
            <w:r w:rsidR="00304E82">
              <w:rPr>
                <w:rFonts w:cs="David"/>
              </w:rPr>
              <w:t>;</w:t>
            </w:r>
          </w:p>
        </w:tc>
      </w:tr>
      <w:tr w:rsidR="00302F74" w:rsidTr="001A122A">
        <w:tc>
          <w:tcPr>
            <w:tcW w:w="1468" w:type="dxa"/>
          </w:tcPr>
          <w:p w:rsidR="00302F74" w:rsidRDefault="00302F74" w:rsidP="00E81770">
            <w:pPr>
              <w:spacing w:line="360" w:lineRule="auto"/>
              <w:jc w:val="both"/>
              <w:rPr>
                <w:rtl/>
              </w:rPr>
            </w:pPr>
          </w:p>
        </w:tc>
        <w:tc>
          <w:tcPr>
            <w:tcW w:w="992" w:type="dxa"/>
          </w:tcPr>
          <w:p w:rsidR="00302F74" w:rsidRDefault="00302F74" w:rsidP="00E81770">
            <w:pPr>
              <w:spacing w:line="360" w:lineRule="auto"/>
              <w:jc w:val="both"/>
              <w:rPr>
                <w:rtl/>
              </w:rPr>
            </w:pPr>
          </w:p>
        </w:tc>
        <w:tc>
          <w:tcPr>
            <w:tcW w:w="6062" w:type="dxa"/>
          </w:tcPr>
          <w:p w:rsidR="00302F74" w:rsidRDefault="00CE6BAA" w:rsidP="00304E82">
            <w:pPr>
              <w:numPr>
                <w:ilvl w:val="0"/>
                <w:numId w:val="3"/>
              </w:numPr>
              <w:spacing w:line="360" w:lineRule="auto"/>
              <w:jc w:val="both"/>
              <w:rPr>
                <w:rFonts w:cs="David"/>
                <w:rtl/>
              </w:rPr>
            </w:pPr>
            <w:r>
              <w:rPr>
                <w:rFonts w:cs="David" w:hint="cs"/>
                <w:rtl/>
              </w:rPr>
              <w:t>המפר</w:t>
            </w:r>
            <w:r w:rsidR="00B8208A">
              <w:rPr>
                <w:rFonts w:cs="David" w:hint="cs"/>
                <w:rtl/>
              </w:rPr>
              <w:t xml:space="preserve"> </w:t>
            </w:r>
            <w:r w:rsidR="00302F74">
              <w:rPr>
                <w:rFonts w:cs="David" w:hint="cs"/>
                <w:rtl/>
              </w:rPr>
              <w:t>נקט פעולות</w:t>
            </w:r>
            <w:r>
              <w:rPr>
                <w:rFonts w:cs="David" w:hint="cs"/>
                <w:rtl/>
              </w:rPr>
              <w:t xml:space="preserve"> למניעת</w:t>
            </w:r>
            <w:r w:rsidR="00302F74">
              <w:rPr>
                <w:rFonts w:cs="David" w:hint="cs"/>
                <w:rtl/>
              </w:rPr>
              <w:t xml:space="preserve"> הישנות</w:t>
            </w:r>
            <w:r>
              <w:rPr>
                <w:rFonts w:cs="David" w:hint="cs"/>
                <w:rtl/>
              </w:rPr>
              <w:t xml:space="preserve"> ההפרה ולהקטנת הנזק</w:t>
            </w:r>
            <w:r w:rsidR="00302F74">
              <w:rPr>
                <w:rFonts w:cs="David" w:hint="cs"/>
                <w:rtl/>
              </w:rPr>
              <w:t>, להנחת דעת</w:t>
            </w:r>
            <w:r>
              <w:rPr>
                <w:rFonts w:cs="David" w:hint="cs"/>
                <w:rtl/>
              </w:rPr>
              <w:t>ו של</w:t>
            </w:r>
            <w:r w:rsidR="00302F74">
              <w:rPr>
                <w:rFonts w:cs="David" w:hint="cs"/>
                <w:rtl/>
              </w:rPr>
              <w:t xml:space="preserve"> הממונה </w:t>
            </w:r>
            <w:r w:rsidR="00302F74">
              <w:rPr>
                <w:rFonts w:cs="David"/>
                <w:rtl/>
              </w:rPr>
              <w:t>–</w:t>
            </w:r>
            <w:r w:rsidR="00302F74">
              <w:rPr>
                <w:rFonts w:cs="David" w:hint="cs"/>
                <w:rtl/>
              </w:rPr>
              <w:t xml:space="preserve"> </w:t>
            </w:r>
            <w:r w:rsidR="00302F74" w:rsidRPr="00CE6BAA">
              <w:rPr>
                <w:rFonts w:cs="David" w:hint="cs"/>
                <w:rtl/>
              </w:rPr>
              <w:t>30%</w:t>
            </w:r>
            <w:r w:rsidR="00304E82">
              <w:rPr>
                <w:rFonts w:cs="David" w:hint="cs"/>
                <w:rtl/>
              </w:rPr>
              <w:t>.</w:t>
            </w:r>
          </w:p>
        </w:tc>
      </w:tr>
      <w:tr w:rsidR="00E81770" w:rsidTr="001A122A">
        <w:tc>
          <w:tcPr>
            <w:tcW w:w="1468" w:type="dxa"/>
          </w:tcPr>
          <w:p w:rsidR="00E81770" w:rsidRDefault="00E81770" w:rsidP="00E81770">
            <w:pPr>
              <w:spacing w:line="360" w:lineRule="auto"/>
              <w:jc w:val="both"/>
              <w:rPr>
                <w:rtl/>
              </w:rPr>
            </w:pPr>
          </w:p>
        </w:tc>
        <w:tc>
          <w:tcPr>
            <w:tcW w:w="7054" w:type="dxa"/>
            <w:gridSpan w:val="2"/>
          </w:tcPr>
          <w:p w:rsidR="00E81770" w:rsidRDefault="00E81770" w:rsidP="00E81770">
            <w:pPr>
              <w:spacing w:line="360" w:lineRule="auto"/>
              <w:jc w:val="both"/>
              <w:rPr>
                <w:rFonts w:cs="David"/>
                <w:rtl/>
              </w:rPr>
            </w:pPr>
          </w:p>
        </w:tc>
      </w:tr>
      <w:tr w:rsidR="00CE6BAA" w:rsidTr="001A122A">
        <w:tc>
          <w:tcPr>
            <w:tcW w:w="1468" w:type="dxa"/>
          </w:tcPr>
          <w:p w:rsidR="00CE6BAA" w:rsidRPr="00CE6BAA" w:rsidRDefault="00CE6BAA" w:rsidP="00CE6BAA">
            <w:pPr>
              <w:spacing w:line="360" w:lineRule="auto"/>
              <w:rPr>
                <w:rFonts w:cs="David"/>
                <w:rtl/>
              </w:rPr>
            </w:pPr>
            <w:r w:rsidRPr="00CE6BAA">
              <w:rPr>
                <w:rFonts w:cs="David" w:hint="cs"/>
                <w:rtl/>
              </w:rPr>
              <w:t>הפחתה בשל נסיבות אישיות</w:t>
            </w:r>
          </w:p>
        </w:tc>
        <w:tc>
          <w:tcPr>
            <w:tcW w:w="7054" w:type="dxa"/>
            <w:gridSpan w:val="2"/>
          </w:tcPr>
          <w:p w:rsidR="00CE6BAA" w:rsidRDefault="00CE6BAA" w:rsidP="00CE6BAA">
            <w:pPr>
              <w:numPr>
                <w:ilvl w:val="0"/>
                <w:numId w:val="1"/>
              </w:numPr>
              <w:spacing w:line="360" w:lineRule="auto"/>
              <w:jc w:val="both"/>
              <w:rPr>
                <w:rFonts w:cs="David"/>
                <w:rtl/>
              </w:rPr>
            </w:pPr>
            <w:r>
              <w:rPr>
                <w:rFonts w:cs="David" w:hint="cs"/>
                <w:rtl/>
              </w:rPr>
              <w:t>ראה הממונה, לגבי מפר שהוא יחיד, שההפרה נגרמה בשל נסיבות אישיות המצדיקות הפחתה של העיצום הכספי או שהתקיימו נסיבות אישיות קשות המצדיקות שלא למצות את הדין עם המפר, רשאי הוא להפחית למפר את סכום העיצום הכספי בשיעור של 35%, וזאת מבלי לגרוע מסמכותו לפי תקנה 2.</w:t>
            </w:r>
          </w:p>
        </w:tc>
      </w:tr>
      <w:tr w:rsidR="00CE6BAA" w:rsidTr="001A122A">
        <w:tc>
          <w:tcPr>
            <w:tcW w:w="1468" w:type="dxa"/>
          </w:tcPr>
          <w:p w:rsidR="00CE6BAA" w:rsidRPr="00CE6BAA" w:rsidRDefault="00CE6BAA" w:rsidP="00CE6BAA">
            <w:pPr>
              <w:spacing w:line="360" w:lineRule="auto"/>
              <w:rPr>
                <w:rFonts w:cs="David"/>
                <w:rtl/>
              </w:rPr>
            </w:pPr>
          </w:p>
        </w:tc>
        <w:tc>
          <w:tcPr>
            <w:tcW w:w="7054" w:type="dxa"/>
            <w:gridSpan w:val="2"/>
          </w:tcPr>
          <w:p w:rsidR="00CE6BAA" w:rsidRDefault="00CE6BAA" w:rsidP="00CE6BAA">
            <w:pPr>
              <w:spacing w:line="360" w:lineRule="auto"/>
              <w:ind w:left="720"/>
              <w:jc w:val="both"/>
              <w:rPr>
                <w:rFonts w:cs="David"/>
                <w:rtl/>
              </w:rPr>
            </w:pPr>
          </w:p>
        </w:tc>
      </w:tr>
      <w:tr w:rsidR="00CE6BAA" w:rsidTr="001A122A">
        <w:tc>
          <w:tcPr>
            <w:tcW w:w="1468" w:type="dxa"/>
          </w:tcPr>
          <w:p w:rsidR="00CE6BAA" w:rsidRPr="00CE6BAA" w:rsidRDefault="00CE6BAA" w:rsidP="00CE6BAA">
            <w:pPr>
              <w:spacing w:line="360" w:lineRule="auto"/>
              <w:rPr>
                <w:rFonts w:cs="David"/>
                <w:rtl/>
              </w:rPr>
            </w:pPr>
            <w:r>
              <w:rPr>
                <w:rFonts w:cs="David" w:hint="cs"/>
                <w:rtl/>
              </w:rPr>
              <w:t>הפחתה בשל מספר נסיבות</w:t>
            </w:r>
          </w:p>
        </w:tc>
        <w:tc>
          <w:tcPr>
            <w:tcW w:w="7054" w:type="dxa"/>
            <w:gridSpan w:val="2"/>
          </w:tcPr>
          <w:p w:rsidR="00CE6BAA" w:rsidRDefault="00CE6BAA" w:rsidP="00CE6BAA">
            <w:pPr>
              <w:numPr>
                <w:ilvl w:val="0"/>
                <w:numId w:val="1"/>
              </w:numPr>
              <w:spacing w:line="360" w:lineRule="auto"/>
              <w:jc w:val="both"/>
              <w:rPr>
                <w:rFonts w:cs="David"/>
                <w:rtl/>
              </w:rPr>
            </w:pPr>
            <w:r>
              <w:rPr>
                <w:rFonts w:cs="David" w:hint="cs"/>
                <w:rtl/>
              </w:rPr>
              <w:t>התקיימו לגבי מפר כמה נסיבות כאמור בתקנות 2 ו</w:t>
            </w:r>
            <w:r w:rsidR="001B641C">
              <w:rPr>
                <w:rFonts w:cs="David" w:hint="cs"/>
                <w:rtl/>
              </w:rPr>
              <w:t>-3 רשאי הממונה להפחית למפר מסכום</w:t>
            </w:r>
            <w:r>
              <w:rPr>
                <w:rFonts w:cs="David" w:hint="cs"/>
                <w:rtl/>
              </w:rPr>
              <w:t xml:space="preserve"> העיצום הכספי את השיעורים המנויים לצד אותן נסיבות במצטבר, ובלבד ששיעור ההפחתה לא יעלה על 50% מסכום העיצום הכספי הקבוע בשל אותה הפרה.</w:t>
            </w:r>
          </w:p>
        </w:tc>
      </w:tr>
      <w:tr w:rsidR="00CE6BAA" w:rsidTr="001A122A">
        <w:tc>
          <w:tcPr>
            <w:tcW w:w="1468" w:type="dxa"/>
          </w:tcPr>
          <w:p w:rsidR="00CE6BAA" w:rsidRDefault="00CE6BAA" w:rsidP="00E81770">
            <w:pPr>
              <w:spacing w:line="360" w:lineRule="auto"/>
              <w:jc w:val="both"/>
              <w:rPr>
                <w:rtl/>
              </w:rPr>
            </w:pPr>
          </w:p>
        </w:tc>
        <w:tc>
          <w:tcPr>
            <w:tcW w:w="7054" w:type="dxa"/>
            <w:gridSpan w:val="2"/>
          </w:tcPr>
          <w:p w:rsidR="00CE6BAA" w:rsidRDefault="00CE6BAA" w:rsidP="00E81770">
            <w:pPr>
              <w:spacing w:line="360" w:lineRule="auto"/>
              <w:jc w:val="both"/>
              <w:rPr>
                <w:rFonts w:cs="David"/>
                <w:rtl/>
              </w:rPr>
            </w:pPr>
          </w:p>
        </w:tc>
      </w:tr>
      <w:tr w:rsidR="00573CB4" w:rsidTr="001A122A">
        <w:tc>
          <w:tcPr>
            <w:tcW w:w="1468" w:type="dxa"/>
          </w:tcPr>
          <w:p w:rsidR="00573CB4" w:rsidRPr="001A122A" w:rsidRDefault="00CE6BAA" w:rsidP="00CC6EED">
            <w:pPr>
              <w:spacing w:line="360" w:lineRule="auto"/>
              <w:rPr>
                <w:rFonts w:cs="David"/>
                <w:rtl/>
              </w:rPr>
            </w:pPr>
            <w:r>
              <w:rPr>
                <w:rFonts w:cs="David" w:hint="cs"/>
                <w:rtl/>
              </w:rPr>
              <w:t xml:space="preserve">הפחתה בשל התחשבות במחזור </w:t>
            </w:r>
            <w:r w:rsidR="00CC6EED">
              <w:rPr>
                <w:rFonts w:cs="David" w:hint="cs"/>
                <w:rtl/>
              </w:rPr>
              <w:t>עסקאות</w:t>
            </w:r>
          </w:p>
        </w:tc>
        <w:tc>
          <w:tcPr>
            <w:tcW w:w="7054" w:type="dxa"/>
            <w:gridSpan w:val="2"/>
          </w:tcPr>
          <w:p w:rsidR="00573CB4" w:rsidRPr="001A122A" w:rsidRDefault="004C29DD" w:rsidP="00FA48F4">
            <w:pPr>
              <w:numPr>
                <w:ilvl w:val="0"/>
                <w:numId w:val="1"/>
              </w:numPr>
              <w:spacing w:line="360" w:lineRule="auto"/>
              <w:jc w:val="both"/>
              <w:rPr>
                <w:rFonts w:cs="David"/>
                <w:rtl/>
              </w:rPr>
            </w:pPr>
            <w:r>
              <w:rPr>
                <w:rFonts w:cs="David" w:hint="cs"/>
                <w:rtl/>
              </w:rPr>
              <w:t xml:space="preserve">(א) </w:t>
            </w:r>
            <w:r w:rsidR="00CE6BAA">
              <w:rPr>
                <w:rFonts w:cs="David" w:hint="cs"/>
                <w:rtl/>
              </w:rPr>
              <w:t xml:space="preserve">מצא הממונה שסכום העיצום הכספי עולה על 20% ממחזור העסקאות הכולל של המפר, רשאי הוא להפחית את הסכום  ל </w:t>
            </w:r>
            <w:r w:rsidR="00CE6BAA">
              <w:rPr>
                <w:rFonts w:cs="David"/>
                <w:rtl/>
              </w:rPr>
              <w:t>–</w:t>
            </w:r>
            <w:r w:rsidR="00CE6BAA">
              <w:rPr>
                <w:rFonts w:cs="David" w:hint="cs"/>
                <w:rtl/>
              </w:rPr>
              <w:t xml:space="preserve"> 20% ממחזור העסקאות הכולל של המפר</w:t>
            </w:r>
            <w:r w:rsidR="005F3012" w:rsidRPr="00101595">
              <w:rPr>
                <w:rFonts w:cs="David"/>
              </w:rPr>
              <w:t>;</w:t>
            </w:r>
            <w:r w:rsidR="005F3012" w:rsidRPr="00101595">
              <w:rPr>
                <w:rFonts w:cs="David" w:hint="cs"/>
                <w:rtl/>
              </w:rPr>
              <w:t xml:space="preserve"> ואולם מפר שמחזור העסקאות שלו אינו עולה על 10 מיליון ₪, רשאי הממונה להפחית את סכום העיצום הכספי ל -  7%</w:t>
            </w:r>
            <w:r w:rsidR="00CA1520" w:rsidRPr="00101595">
              <w:rPr>
                <w:rFonts w:cs="David" w:hint="cs"/>
                <w:rtl/>
              </w:rPr>
              <w:t xml:space="preserve"> ממחזור העסקאות</w:t>
            </w:r>
            <w:r w:rsidR="00CE6BAA" w:rsidRPr="00101595">
              <w:rPr>
                <w:rFonts w:cs="David" w:hint="cs"/>
                <w:rtl/>
              </w:rPr>
              <w:t>.</w:t>
            </w:r>
            <w:r>
              <w:rPr>
                <w:rFonts w:cs="David" w:hint="cs"/>
                <w:rtl/>
              </w:rPr>
              <w:t xml:space="preserve"> </w:t>
            </w:r>
          </w:p>
        </w:tc>
      </w:tr>
      <w:tr w:rsidR="00573CB4" w:rsidTr="001A122A">
        <w:tc>
          <w:tcPr>
            <w:tcW w:w="1468" w:type="dxa"/>
          </w:tcPr>
          <w:p w:rsidR="00573CB4" w:rsidRDefault="00573CB4" w:rsidP="00E81770">
            <w:pPr>
              <w:spacing w:line="360" w:lineRule="auto"/>
              <w:jc w:val="both"/>
              <w:rPr>
                <w:rtl/>
              </w:rPr>
            </w:pPr>
          </w:p>
        </w:tc>
        <w:tc>
          <w:tcPr>
            <w:tcW w:w="7054" w:type="dxa"/>
            <w:gridSpan w:val="2"/>
          </w:tcPr>
          <w:p w:rsidR="00573CB4" w:rsidRPr="008F4D16" w:rsidRDefault="00E81770" w:rsidP="00CE6BAA">
            <w:pPr>
              <w:spacing w:line="360" w:lineRule="auto"/>
              <w:jc w:val="both"/>
              <w:rPr>
                <w:rFonts w:cs="David"/>
                <w:rtl/>
              </w:rPr>
            </w:pPr>
            <w:r>
              <w:rPr>
                <w:rFonts w:cs="David" w:hint="cs"/>
                <w:rtl/>
              </w:rPr>
              <w:t xml:space="preserve">           </w:t>
            </w:r>
            <w:r w:rsidR="008F4D16">
              <w:rPr>
                <w:rFonts w:cs="David" w:hint="cs"/>
                <w:rtl/>
              </w:rPr>
              <w:t>(ב) תקנת משנה (א) תחול בין אם הופחת סכום העיצום הכספי לפי תקנ</w:t>
            </w:r>
            <w:r w:rsidR="00CE6BAA">
              <w:rPr>
                <w:rFonts w:cs="David" w:hint="cs"/>
                <w:rtl/>
              </w:rPr>
              <w:t>ות</w:t>
            </w:r>
            <w:r w:rsidR="008F4D16">
              <w:rPr>
                <w:rFonts w:cs="David" w:hint="cs"/>
                <w:rtl/>
              </w:rPr>
              <w:t xml:space="preserve"> 2 </w:t>
            </w:r>
            <w:r w:rsidR="00CE6BAA">
              <w:rPr>
                <w:rFonts w:cs="David" w:hint="cs"/>
                <w:rtl/>
              </w:rPr>
              <w:t xml:space="preserve">ו- 3 </w:t>
            </w:r>
            <w:r w:rsidR="008F4D16">
              <w:rPr>
                <w:rFonts w:cs="David" w:hint="cs"/>
                <w:rtl/>
              </w:rPr>
              <w:t>ובין אם לאו.</w:t>
            </w:r>
          </w:p>
        </w:tc>
      </w:tr>
      <w:tr w:rsidR="00E81770" w:rsidTr="001A122A">
        <w:tc>
          <w:tcPr>
            <w:tcW w:w="1468" w:type="dxa"/>
          </w:tcPr>
          <w:p w:rsidR="00E81770" w:rsidRDefault="00E81770" w:rsidP="00E81770">
            <w:pPr>
              <w:spacing w:line="360" w:lineRule="auto"/>
              <w:jc w:val="both"/>
              <w:rPr>
                <w:rtl/>
              </w:rPr>
            </w:pPr>
          </w:p>
        </w:tc>
        <w:tc>
          <w:tcPr>
            <w:tcW w:w="7054" w:type="dxa"/>
            <w:gridSpan w:val="2"/>
          </w:tcPr>
          <w:p w:rsidR="00E81770" w:rsidRDefault="00CE6BAA" w:rsidP="00E81770">
            <w:pPr>
              <w:spacing w:line="360" w:lineRule="auto"/>
              <w:jc w:val="both"/>
              <w:rPr>
                <w:rFonts w:cs="David"/>
                <w:rtl/>
              </w:rPr>
            </w:pPr>
            <w:r>
              <w:rPr>
                <w:rFonts w:cs="David" w:hint="cs"/>
                <w:rtl/>
              </w:rPr>
              <w:t xml:space="preserve">(ג) </w:t>
            </w:r>
            <w:r w:rsidR="00CC6EED">
              <w:rPr>
                <w:rFonts w:cs="David" w:hint="cs"/>
                <w:rtl/>
              </w:rPr>
              <w:t>מפר המבקש הפחתה של סכום העיצום הכספי לפי תקנה זו, יגיש לממונה אישור רואה חשבון, לעניין גובה מחזור העסקאות שלו, בתוך 30 ימים ממועד מסירת ההודעה על הכוונה להטיל עליו עיצום כספי.</w:t>
            </w:r>
          </w:p>
        </w:tc>
      </w:tr>
      <w:tr w:rsidR="00CE6BAA" w:rsidTr="001A122A">
        <w:tc>
          <w:tcPr>
            <w:tcW w:w="1468" w:type="dxa"/>
          </w:tcPr>
          <w:p w:rsidR="00CE6BAA" w:rsidRDefault="00CE6BAA" w:rsidP="00E81770">
            <w:pPr>
              <w:spacing w:line="360" w:lineRule="auto"/>
              <w:jc w:val="both"/>
              <w:rPr>
                <w:rtl/>
              </w:rPr>
            </w:pPr>
          </w:p>
        </w:tc>
        <w:tc>
          <w:tcPr>
            <w:tcW w:w="7054" w:type="dxa"/>
            <w:gridSpan w:val="2"/>
          </w:tcPr>
          <w:p w:rsidR="00CE6BAA" w:rsidRDefault="00CE6BAA" w:rsidP="00E81770">
            <w:pPr>
              <w:spacing w:line="360" w:lineRule="auto"/>
              <w:jc w:val="both"/>
              <w:rPr>
                <w:rFonts w:cs="David"/>
                <w:rtl/>
              </w:rPr>
            </w:pPr>
          </w:p>
        </w:tc>
      </w:tr>
      <w:tr w:rsidR="00A56759" w:rsidTr="001A122A">
        <w:tc>
          <w:tcPr>
            <w:tcW w:w="1468" w:type="dxa"/>
          </w:tcPr>
          <w:p w:rsidR="00A56759" w:rsidRPr="00AB3410" w:rsidRDefault="00AB3410" w:rsidP="00E81770">
            <w:pPr>
              <w:spacing w:line="360" w:lineRule="auto"/>
              <w:jc w:val="both"/>
              <w:rPr>
                <w:rFonts w:cs="David"/>
                <w:rtl/>
              </w:rPr>
            </w:pPr>
            <w:r>
              <w:rPr>
                <w:rFonts w:cs="David" w:hint="cs"/>
                <w:rtl/>
              </w:rPr>
              <w:t>תחילה</w:t>
            </w:r>
          </w:p>
        </w:tc>
        <w:tc>
          <w:tcPr>
            <w:tcW w:w="7054" w:type="dxa"/>
            <w:gridSpan w:val="2"/>
          </w:tcPr>
          <w:p w:rsidR="00A56759" w:rsidRPr="00AB3410" w:rsidRDefault="00AB3410" w:rsidP="001B641C">
            <w:pPr>
              <w:numPr>
                <w:ilvl w:val="0"/>
                <w:numId w:val="1"/>
              </w:numPr>
              <w:spacing w:line="360" w:lineRule="auto"/>
              <w:jc w:val="both"/>
              <w:rPr>
                <w:rFonts w:cs="David"/>
                <w:rtl/>
              </w:rPr>
            </w:pPr>
            <w:r>
              <w:rPr>
                <w:rFonts w:cs="David" w:hint="cs"/>
                <w:rtl/>
              </w:rPr>
              <w:t xml:space="preserve">תחילתן של תקנות אלה </w:t>
            </w:r>
            <w:r w:rsidR="001B641C">
              <w:rPr>
                <w:rFonts w:cs="David" w:hint="cs"/>
                <w:rtl/>
              </w:rPr>
              <w:t>ביום י' בטבת התשע"ה (1 בינואר 2015)</w:t>
            </w:r>
            <w:r>
              <w:rPr>
                <w:rFonts w:cs="David" w:hint="cs"/>
                <w:rtl/>
              </w:rPr>
              <w:t>.</w:t>
            </w:r>
          </w:p>
        </w:tc>
      </w:tr>
      <w:tr w:rsidR="00A56759" w:rsidTr="001A122A">
        <w:tc>
          <w:tcPr>
            <w:tcW w:w="1468" w:type="dxa"/>
          </w:tcPr>
          <w:p w:rsidR="00A56759" w:rsidRDefault="00A56759" w:rsidP="00E81770">
            <w:pPr>
              <w:spacing w:line="360" w:lineRule="auto"/>
              <w:jc w:val="both"/>
              <w:rPr>
                <w:rtl/>
              </w:rPr>
            </w:pPr>
          </w:p>
        </w:tc>
        <w:tc>
          <w:tcPr>
            <w:tcW w:w="7054" w:type="dxa"/>
            <w:gridSpan w:val="2"/>
          </w:tcPr>
          <w:p w:rsidR="00A56759" w:rsidRDefault="00A56759" w:rsidP="00E81770">
            <w:pPr>
              <w:spacing w:line="360" w:lineRule="auto"/>
              <w:jc w:val="both"/>
              <w:rPr>
                <w:rtl/>
              </w:rPr>
            </w:pPr>
          </w:p>
        </w:tc>
      </w:tr>
    </w:tbl>
    <w:p w:rsidR="00573CB4" w:rsidRDefault="00573CB4" w:rsidP="00E81770">
      <w:pPr>
        <w:jc w:val="both"/>
        <w:rPr>
          <w:rtl/>
        </w:rPr>
      </w:pPr>
    </w:p>
    <w:p w:rsidR="00AB3410" w:rsidRDefault="00AB3410" w:rsidP="00E81770">
      <w:pPr>
        <w:jc w:val="both"/>
        <w:rPr>
          <w:rtl/>
        </w:rPr>
      </w:pPr>
    </w:p>
    <w:p w:rsidR="00AB3410" w:rsidRDefault="00AB3410" w:rsidP="007520E8">
      <w:pPr>
        <w:jc w:val="both"/>
        <w:rPr>
          <w:rtl/>
        </w:rPr>
      </w:pPr>
      <w:r>
        <w:rPr>
          <w:rFonts w:hint="cs"/>
          <w:rtl/>
        </w:rPr>
        <w:t xml:space="preserve">___________ </w:t>
      </w:r>
      <w:r w:rsidRPr="00AB3410">
        <w:rPr>
          <w:rFonts w:cs="David" w:hint="cs"/>
          <w:rtl/>
        </w:rPr>
        <w:t>התשע"</w:t>
      </w:r>
      <w:r w:rsidR="007520E8">
        <w:rPr>
          <w:rFonts w:cs="David" w:hint="cs"/>
          <w:rtl/>
        </w:rPr>
        <w:t>ה</w:t>
      </w:r>
    </w:p>
    <w:p w:rsidR="00AB3410" w:rsidRPr="00AB3410" w:rsidRDefault="00AB3410" w:rsidP="00E8262E">
      <w:pPr>
        <w:jc w:val="both"/>
        <w:rPr>
          <w:rFonts w:cs="David"/>
          <w:rtl/>
        </w:rPr>
      </w:pPr>
      <w:r w:rsidRPr="00AB3410">
        <w:rPr>
          <w:rFonts w:cs="David" w:hint="cs"/>
          <w:rtl/>
        </w:rPr>
        <w:t>(_________ 201</w:t>
      </w:r>
      <w:r w:rsidR="00E8262E">
        <w:rPr>
          <w:rFonts w:cs="David" w:hint="cs"/>
          <w:rtl/>
        </w:rPr>
        <w:t>4</w:t>
      </w:r>
      <w:r w:rsidRPr="00AB3410">
        <w:rPr>
          <w:rFonts w:cs="David" w:hint="cs"/>
          <w:rtl/>
        </w:rPr>
        <w:t>)</w:t>
      </w:r>
    </w:p>
    <w:p w:rsidR="00AB3410" w:rsidRPr="00AB3410" w:rsidRDefault="00304E82" w:rsidP="00E81770">
      <w:pPr>
        <w:jc w:val="both"/>
        <w:rPr>
          <w:rFonts w:cs="David"/>
          <w:rtl/>
        </w:rPr>
      </w:pPr>
      <w:r>
        <w:rPr>
          <w:rFonts w:cs="David" w:hint="cs"/>
          <w:rtl/>
        </w:rPr>
        <w:t>(חמ 3-4576)</w:t>
      </w:r>
    </w:p>
    <w:p w:rsidR="00AB3410" w:rsidRPr="00AB3410" w:rsidRDefault="00AB3410" w:rsidP="00E81770">
      <w:pPr>
        <w:jc w:val="both"/>
        <w:rPr>
          <w:rFonts w:cs="David"/>
          <w:rtl/>
        </w:rPr>
      </w:pPr>
    </w:p>
    <w:p w:rsidR="00AB3410" w:rsidRPr="00AB3410" w:rsidRDefault="00AB3410" w:rsidP="00E81770">
      <w:pPr>
        <w:jc w:val="both"/>
        <w:rPr>
          <w:rFonts w:cs="David"/>
          <w:rtl/>
        </w:rPr>
      </w:pPr>
    </w:p>
    <w:p w:rsidR="00AB3410" w:rsidRPr="00AB3410" w:rsidRDefault="00AB3410" w:rsidP="00E81770">
      <w:pPr>
        <w:jc w:val="both"/>
        <w:rPr>
          <w:rFonts w:cs="David"/>
          <w:rtl/>
        </w:rPr>
      </w:pPr>
    </w:p>
    <w:p w:rsidR="00AB3410" w:rsidRPr="00AB3410" w:rsidRDefault="00AB3410" w:rsidP="00E81770">
      <w:pPr>
        <w:jc w:val="both"/>
        <w:rPr>
          <w:rFonts w:cs="David"/>
          <w:rtl/>
        </w:rPr>
      </w:pPr>
    </w:p>
    <w:p w:rsidR="00AB3410" w:rsidRPr="00AB3410" w:rsidRDefault="00AB3410" w:rsidP="00E81770">
      <w:pPr>
        <w:jc w:val="both"/>
        <w:rPr>
          <w:rFonts w:cs="David"/>
          <w:rtl/>
        </w:rPr>
      </w:pPr>
    </w:p>
    <w:p w:rsidR="00AB3410" w:rsidRPr="00AB3410" w:rsidRDefault="00AB3410" w:rsidP="00E8262E">
      <w:pPr>
        <w:jc w:val="both"/>
        <w:rPr>
          <w:rFonts w:cs="David"/>
          <w:rtl/>
        </w:rPr>
      </w:pPr>
      <w:r w:rsidRPr="00AB3410">
        <w:rPr>
          <w:rFonts w:cs="David" w:hint="cs"/>
          <w:rtl/>
        </w:rPr>
        <w:tab/>
      </w:r>
      <w:r w:rsidRPr="00AB3410">
        <w:rPr>
          <w:rFonts w:cs="David" w:hint="cs"/>
          <w:rtl/>
        </w:rPr>
        <w:tab/>
      </w:r>
      <w:r w:rsidRPr="00AB3410">
        <w:rPr>
          <w:rFonts w:cs="David" w:hint="cs"/>
          <w:rtl/>
        </w:rPr>
        <w:tab/>
      </w:r>
      <w:r w:rsidRPr="00AB3410">
        <w:rPr>
          <w:rFonts w:cs="David" w:hint="cs"/>
          <w:rtl/>
        </w:rPr>
        <w:tab/>
      </w:r>
      <w:r w:rsidRPr="00AB3410">
        <w:rPr>
          <w:rFonts w:cs="David" w:hint="cs"/>
          <w:rtl/>
        </w:rPr>
        <w:tab/>
      </w:r>
      <w:r w:rsidRPr="00AB3410">
        <w:rPr>
          <w:rFonts w:cs="David" w:hint="cs"/>
          <w:rtl/>
        </w:rPr>
        <w:tab/>
      </w:r>
      <w:r w:rsidRPr="00AB3410">
        <w:rPr>
          <w:rFonts w:cs="David" w:hint="cs"/>
          <w:rtl/>
        </w:rPr>
        <w:tab/>
      </w:r>
      <w:r w:rsidRPr="00AB3410">
        <w:rPr>
          <w:rFonts w:cs="David" w:hint="cs"/>
          <w:rtl/>
        </w:rPr>
        <w:tab/>
      </w:r>
      <w:r w:rsidR="00E8262E">
        <w:rPr>
          <w:rFonts w:cs="David" w:hint="cs"/>
          <w:rtl/>
        </w:rPr>
        <w:t>נפתלי בנט</w:t>
      </w:r>
    </w:p>
    <w:p w:rsidR="00AB3410" w:rsidRPr="00AB3410" w:rsidRDefault="00AB3410" w:rsidP="00E81770">
      <w:pPr>
        <w:jc w:val="both"/>
        <w:rPr>
          <w:rFonts w:cs="David"/>
          <w:rtl/>
        </w:rPr>
      </w:pPr>
    </w:p>
    <w:p w:rsidR="00AB3410" w:rsidRDefault="00AB3410" w:rsidP="00E8262E">
      <w:pPr>
        <w:jc w:val="both"/>
      </w:pPr>
      <w:r w:rsidRPr="00AB3410">
        <w:rPr>
          <w:rFonts w:cs="David" w:hint="cs"/>
          <w:rtl/>
        </w:rPr>
        <w:tab/>
      </w:r>
      <w:r w:rsidRPr="00AB3410">
        <w:rPr>
          <w:rFonts w:cs="David" w:hint="cs"/>
          <w:rtl/>
        </w:rPr>
        <w:tab/>
      </w:r>
      <w:r w:rsidRPr="00AB3410">
        <w:rPr>
          <w:rFonts w:cs="David" w:hint="cs"/>
          <w:rtl/>
        </w:rPr>
        <w:tab/>
      </w:r>
      <w:r w:rsidRPr="00AB3410">
        <w:rPr>
          <w:rFonts w:cs="David" w:hint="cs"/>
          <w:rtl/>
        </w:rPr>
        <w:tab/>
      </w:r>
      <w:r w:rsidRPr="00AB3410">
        <w:rPr>
          <w:rFonts w:cs="David" w:hint="cs"/>
          <w:rtl/>
        </w:rPr>
        <w:tab/>
      </w:r>
      <w:r w:rsidRPr="00AB3410">
        <w:rPr>
          <w:rFonts w:cs="David" w:hint="cs"/>
          <w:rtl/>
        </w:rPr>
        <w:tab/>
      </w:r>
      <w:r w:rsidRPr="00AB3410">
        <w:rPr>
          <w:rFonts w:cs="David" w:hint="cs"/>
          <w:rtl/>
        </w:rPr>
        <w:tab/>
      </w:r>
      <w:r w:rsidR="00E8262E">
        <w:rPr>
          <w:rFonts w:cs="David" w:hint="cs"/>
          <w:rtl/>
        </w:rPr>
        <w:t xml:space="preserve">        </w:t>
      </w:r>
      <w:r w:rsidRPr="00AB3410">
        <w:rPr>
          <w:rFonts w:cs="David" w:hint="cs"/>
          <w:rtl/>
        </w:rPr>
        <w:t xml:space="preserve">שר </w:t>
      </w:r>
      <w:r w:rsidR="00E8262E">
        <w:rPr>
          <w:rFonts w:cs="David" w:hint="cs"/>
          <w:rtl/>
        </w:rPr>
        <w:t>הכלכלה</w:t>
      </w:r>
    </w:p>
    <w:sectPr w:rsidR="00AB3410">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898" w:rsidRDefault="00701898" w:rsidP="005428A0">
      <w:r>
        <w:separator/>
      </w:r>
    </w:p>
  </w:endnote>
  <w:endnote w:type="continuationSeparator" w:id="0">
    <w:p w:rsidR="00701898" w:rsidRDefault="00701898" w:rsidP="0054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EF" w:rsidRDefault="008534E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EF" w:rsidRDefault="008534E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EF" w:rsidRDefault="008534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898" w:rsidRDefault="00701898" w:rsidP="005428A0">
      <w:r>
        <w:separator/>
      </w:r>
    </w:p>
  </w:footnote>
  <w:footnote w:type="continuationSeparator" w:id="0">
    <w:p w:rsidR="00701898" w:rsidRDefault="00701898" w:rsidP="005428A0">
      <w:r>
        <w:continuationSeparator/>
      </w:r>
    </w:p>
  </w:footnote>
  <w:footnote w:id="1">
    <w:p w:rsidR="008534EF" w:rsidRPr="00AB3410" w:rsidRDefault="008534EF">
      <w:pPr>
        <w:pStyle w:val="aa"/>
        <w:rPr>
          <w:rFonts w:cs="David"/>
        </w:rPr>
      </w:pPr>
      <w:r>
        <w:rPr>
          <w:rStyle w:val="ac"/>
        </w:rPr>
        <w:footnoteRef/>
      </w:r>
      <w:r>
        <w:rPr>
          <w:rtl/>
        </w:rPr>
        <w:t xml:space="preserve"> </w:t>
      </w:r>
      <w:r w:rsidRPr="00AB3410">
        <w:rPr>
          <w:rFonts w:cs="David" w:hint="cs"/>
          <w:rtl/>
        </w:rPr>
        <w:t xml:space="preserve">ס"ח </w:t>
      </w:r>
      <w:r>
        <w:rPr>
          <w:rFonts w:cs="David" w:hint="cs"/>
          <w:rtl/>
        </w:rPr>
        <w:t>ה</w:t>
      </w:r>
      <w:r w:rsidRPr="00AB3410">
        <w:rPr>
          <w:rFonts w:cs="David" w:hint="cs"/>
          <w:rtl/>
        </w:rPr>
        <w:t xml:space="preserve">תשמ"א, עמ' 248 </w:t>
      </w:r>
      <w:r>
        <w:rPr>
          <w:rFonts w:cs="David" w:hint="cs"/>
          <w:rtl/>
        </w:rPr>
        <w:t>.</w:t>
      </w:r>
      <w:r w:rsidRPr="00AB3410">
        <w:rPr>
          <w:rFonts w:cs="David" w:hint="cs"/>
          <w:rtl/>
        </w:rPr>
        <w:t xml:space="preserve"> </w:t>
      </w:r>
    </w:p>
  </w:footnote>
  <w:footnote w:id="2">
    <w:p w:rsidR="008534EF" w:rsidRPr="00AB3410" w:rsidRDefault="008534EF">
      <w:pPr>
        <w:pStyle w:val="aa"/>
        <w:rPr>
          <w:rFonts w:cs="David"/>
        </w:rPr>
      </w:pPr>
      <w:r>
        <w:rPr>
          <w:rStyle w:val="ac"/>
        </w:rPr>
        <w:footnoteRef/>
      </w:r>
      <w:r>
        <w:rPr>
          <w:rtl/>
        </w:rPr>
        <w:t xml:space="preserve"> </w:t>
      </w:r>
      <w:r w:rsidRPr="00AB3410">
        <w:rPr>
          <w:rFonts w:cs="David" w:hint="cs"/>
          <w:rtl/>
        </w:rPr>
        <w:t>ק"ת התשס"ח, עמ' 608</w:t>
      </w:r>
      <w:r>
        <w:rPr>
          <w:rFonts w:cs="David" w:hint="cs"/>
          <w:rtl/>
        </w:rPr>
        <w:t>.</w:t>
      </w:r>
    </w:p>
  </w:footnote>
  <w:footnote w:id="3">
    <w:p w:rsidR="008534EF" w:rsidRPr="00AB3410" w:rsidRDefault="008534EF">
      <w:pPr>
        <w:pStyle w:val="aa"/>
        <w:rPr>
          <w:rFonts w:cs="David"/>
        </w:rPr>
      </w:pPr>
      <w:r>
        <w:rPr>
          <w:rStyle w:val="ac"/>
        </w:rPr>
        <w:footnoteRef/>
      </w:r>
      <w:r>
        <w:rPr>
          <w:rtl/>
        </w:rPr>
        <w:t xml:space="preserve"> </w:t>
      </w:r>
      <w:r>
        <w:rPr>
          <w:rFonts w:cs="David" w:hint="cs"/>
          <w:rtl/>
        </w:rPr>
        <w:t xml:space="preserve">ס"ח התשל"ו, עמ' 52.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EF" w:rsidRDefault="008534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EF" w:rsidRDefault="008534EF" w:rsidP="005428A0">
    <w:pPr>
      <w:pStyle w:val="a3"/>
    </w:pPr>
  </w:p>
  <w:p w:rsidR="008534EF" w:rsidRDefault="008534E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EF" w:rsidRDefault="008534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1D32"/>
    <w:multiLevelType w:val="hybridMultilevel"/>
    <w:tmpl w:val="7FAC699C"/>
    <w:lvl w:ilvl="0" w:tplc="6C0C8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025EBC"/>
    <w:multiLevelType w:val="hybridMultilevel"/>
    <w:tmpl w:val="C532AB1A"/>
    <w:lvl w:ilvl="0" w:tplc="08589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541031"/>
    <w:multiLevelType w:val="hybridMultilevel"/>
    <w:tmpl w:val="F55C9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8E06F1"/>
    <w:multiLevelType w:val="hybridMultilevel"/>
    <w:tmpl w:val="18F00C32"/>
    <w:lvl w:ilvl="0" w:tplc="F54880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558998תקנות הגנת הצרכן.docx"/>
    <w:docVar w:name="StartMode" w:val="4"/>
  </w:docVars>
  <w:rsids>
    <w:rsidRoot w:val="00D637D4"/>
    <w:rsid w:val="000D4644"/>
    <w:rsid w:val="00101595"/>
    <w:rsid w:val="001A122A"/>
    <w:rsid w:val="001B641C"/>
    <w:rsid w:val="001E25FC"/>
    <w:rsid w:val="002312DF"/>
    <w:rsid w:val="00302F74"/>
    <w:rsid w:val="00304E82"/>
    <w:rsid w:val="004C29DD"/>
    <w:rsid w:val="005428A0"/>
    <w:rsid w:val="00573CB4"/>
    <w:rsid w:val="005C14DA"/>
    <w:rsid w:val="005C5905"/>
    <w:rsid w:val="005F3012"/>
    <w:rsid w:val="006724FC"/>
    <w:rsid w:val="006B4239"/>
    <w:rsid w:val="006D7A4D"/>
    <w:rsid w:val="00701898"/>
    <w:rsid w:val="00722AFC"/>
    <w:rsid w:val="00723D9C"/>
    <w:rsid w:val="007520E8"/>
    <w:rsid w:val="008534EF"/>
    <w:rsid w:val="00883534"/>
    <w:rsid w:val="00885EB3"/>
    <w:rsid w:val="008F4D16"/>
    <w:rsid w:val="00917FE8"/>
    <w:rsid w:val="0092690A"/>
    <w:rsid w:val="00943136"/>
    <w:rsid w:val="00A56759"/>
    <w:rsid w:val="00A827C2"/>
    <w:rsid w:val="00AB3410"/>
    <w:rsid w:val="00B649ED"/>
    <w:rsid w:val="00B8208A"/>
    <w:rsid w:val="00CA1520"/>
    <w:rsid w:val="00CB1AC8"/>
    <w:rsid w:val="00CC6EED"/>
    <w:rsid w:val="00CE6BAA"/>
    <w:rsid w:val="00D511D8"/>
    <w:rsid w:val="00D637D4"/>
    <w:rsid w:val="00D91EB1"/>
    <w:rsid w:val="00D966B6"/>
    <w:rsid w:val="00DB04D7"/>
    <w:rsid w:val="00DD71DD"/>
    <w:rsid w:val="00E81770"/>
    <w:rsid w:val="00E8262E"/>
    <w:rsid w:val="00ED5C36"/>
    <w:rsid w:val="00F20D36"/>
    <w:rsid w:val="00FA0EAF"/>
    <w:rsid w:val="00FA48F4"/>
    <w:rsid w:val="00FC03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28A0"/>
    <w:pPr>
      <w:tabs>
        <w:tab w:val="center" w:pos="4153"/>
        <w:tab w:val="right" w:pos="8306"/>
      </w:tabs>
    </w:pPr>
  </w:style>
  <w:style w:type="character" w:customStyle="1" w:styleId="a4">
    <w:name w:val="כותרת עליונה תו"/>
    <w:basedOn w:val="a0"/>
    <w:link w:val="a3"/>
    <w:uiPriority w:val="99"/>
    <w:rsid w:val="005428A0"/>
    <w:rPr>
      <w:sz w:val="24"/>
      <w:szCs w:val="24"/>
      <w:lang w:eastAsia="he-IL"/>
    </w:rPr>
  </w:style>
  <w:style w:type="paragraph" w:styleId="a5">
    <w:name w:val="footer"/>
    <w:basedOn w:val="a"/>
    <w:link w:val="a6"/>
    <w:rsid w:val="005428A0"/>
    <w:pPr>
      <w:tabs>
        <w:tab w:val="center" w:pos="4153"/>
        <w:tab w:val="right" w:pos="8306"/>
      </w:tabs>
    </w:pPr>
  </w:style>
  <w:style w:type="character" w:customStyle="1" w:styleId="a6">
    <w:name w:val="כותרת תחתונה תו"/>
    <w:basedOn w:val="a0"/>
    <w:link w:val="a5"/>
    <w:rsid w:val="005428A0"/>
    <w:rPr>
      <w:sz w:val="24"/>
      <w:szCs w:val="24"/>
      <w:lang w:eastAsia="he-IL"/>
    </w:rPr>
  </w:style>
  <w:style w:type="paragraph" w:styleId="a7">
    <w:name w:val="Balloon Text"/>
    <w:basedOn w:val="a"/>
    <w:link w:val="a8"/>
    <w:rsid w:val="005428A0"/>
    <w:rPr>
      <w:rFonts w:ascii="Tahoma" w:hAnsi="Tahoma" w:cs="Tahoma"/>
      <w:sz w:val="16"/>
      <w:szCs w:val="16"/>
    </w:rPr>
  </w:style>
  <w:style w:type="character" w:customStyle="1" w:styleId="a8">
    <w:name w:val="טקסט בלונים תו"/>
    <w:basedOn w:val="a0"/>
    <w:link w:val="a7"/>
    <w:rsid w:val="005428A0"/>
    <w:rPr>
      <w:rFonts w:ascii="Tahoma" w:hAnsi="Tahoma" w:cs="Tahoma"/>
      <w:sz w:val="16"/>
      <w:szCs w:val="16"/>
      <w:lang w:eastAsia="he-IL"/>
    </w:rPr>
  </w:style>
  <w:style w:type="table" w:styleId="a9">
    <w:name w:val="Table Grid"/>
    <w:basedOn w:val="a1"/>
    <w:rsid w:val="00573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rsid w:val="00573CB4"/>
    <w:rPr>
      <w:sz w:val="20"/>
      <w:szCs w:val="20"/>
    </w:rPr>
  </w:style>
  <w:style w:type="character" w:customStyle="1" w:styleId="ab">
    <w:name w:val="טקסט הערת שוליים תו"/>
    <w:basedOn w:val="a0"/>
    <w:link w:val="aa"/>
    <w:rsid w:val="00573CB4"/>
    <w:rPr>
      <w:lang w:eastAsia="he-IL"/>
    </w:rPr>
  </w:style>
  <w:style w:type="character" w:styleId="ac">
    <w:name w:val="footnote reference"/>
    <w:basedOn w:val="a0"/>
    <w:rsid w:val="00573C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28A0"/>
    <w:pPr>
      <w:tabs>
        <w:tab w:val="center" w:pos="4153"/>
        <w:tab w:val="right" w:pos="8306"/>
      </w:tabs>
    </w:pPr>
  </w:style>
  <w:style w:type="character" w:customStyle="1" w:styleId="a4">
    <w:name w:val="כותרת עליונה תו"/>
    <w:basedOn w:val="a0"/>
    <w:link w:val="a3"/>
    <w:uiPriority w:val="99"/>
    <w:rsid w:val="005428A0"/>
    <w:rPr>
      <w:sz w:val="24"/>
      <w:szCs w:val="24"/>
      <w:lang w:eastAsia="he-IL"/>
    </w:rPr>
  </w:style>
  <w:style w:type="paragraph" w:styleId="a5">
    <w:name w:val="footer"/>
    <w:basedOn w:val="a"/>
    <w:link w:val="a6"/>
    <w:rsid w:val="005428A0"/>
    <w:pPr>
      <w:tabs>
        <w:tab w:val="center" w:pos="4153"/>
        <w:tab w:val="right" w:pos="8306"/>
      </w:tabs>
    </w:pPr>
  </w:style>
  <w:style w:type="character" w:customStyle="1" w:styleId="a6">
    <w:name w:val="כותרת תחתונה תו"/>
    <w:basedOn w:val="a0"/>
    <w:link w:val="a5"/>
    <w:rsid w:val="005428A0"/>
    <w:rPr>
      <w:sz w:val="24"/>
      <w:szCs w:val="24"/>
      <w:lang w:eastAsia="he-IL"/>
    </w:rPr>
  </w:style>
  <w:style w:type="paragraph" w:styleId="a7">
    <w:name w:val="Balloon Text"/>
    <w:basedOn w:val="a"/>
    <w:link w:val="a8"/>
    <w:rsid w:val="005428A0"/>
    <w:rPr>
      <w:rFonts w:ascii="Tahoma" w:hAnsi="Tahoma" w:cs="Tahoma"/>
      <w:sz w:val="16"/>
      <w:szCs w:val="16"/>
    </w:rPr>
  </w:style>
  <w:style w:type="character" w:customStyle="1" w:styleId="a8">
    <w:name w:val="טקסט בלונים תו"/>
    <w:basedOn w:val="a0"/>
    <w:link w:val="a7"/>
    <w:rsid w:val="005428A0"/>
    <w:rPr>
      <w:rFonts w:ascii="Tahoma" w:hAnsi="Tahoma" w:cs="Tahoma"/>
      <w:sz w:val="16"/>
      <w:szCs w:val="16"/>
      <w:lang w:eastAsia="he-IL"/>
    </w:rPr>
  </w:style>
  <w:style w:type="table" w:styleId="a9">
    <w:name w:val="Table Grid"/>
    <w:basedOn w:val="a1"/>
    <w:rsid w:val="00573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rsid w:val="00573CB4"/>
    <w:rPr>
      <w:sz w:val="20"/>
      <w:szCs w:val="20"/>
    </w:rPr>
  </w:style>
  <w:style w:type="character" w:customStyle="1" w:styleId="ab">
    <w:name w:val="טקסט הערת שוליים תו"/>
    <w:basedOn w:val="a0"/>
    <w:link w:val="aa"/>
    <w:rsid w:val="00573CB4"/>
    <w:rPr>
      <w:lang w:eastAsia="he-IL"/>
    </w:rPr>
  </w:style>
  <w:style w:type="character" w:styleId="ac">
    <w:name w:val="footnote reference"/>
    <w:basedOn w:val="a0"/>
    <w:rsid w:val="00573C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1E08BD4CF0EB9A4CBC18976C4557B0D7" ma:contentTypeVersion="0" ma:contentTypeDescription="צור מסמך חדש." ma:contentTypeScope="" ma:versionID="afab255bdd9a86a339c6a4fdcc3710f5">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4EEDA-F4D8-441A-A2C4-0599B4269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DE3C7A-BA61-4E57-B3F7-608D2DD0EF06}">
  <ds:schemaRefs>
    <ds:schemaRef ds:uri="http://schemas.microsoft.com/sharepoint/v3/contenttype/forms"/>
  </ds:schemaRefs>
</ds:datastoreItem>
</file>

<file path=customXml/itemProps3.xml><?xml version="1.0" encoding="utf-8"?>
<ds:datastoreItem xmlns:ds="http://schemas.openxmlformats.org/officeDocument/2006/customXml" ds:itemID="{D3DDAA95-B6FA-4CBE-9089-1B12927BA8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EF0F8E-CDB3-4FBF-91BB-4B8E312E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1695</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משרד התעשייה והמסחר</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moital</dc:creator>
  <cp:lastModifiedBy>יפעת לוי</cp:lastModifiedBy>
  <cp:revision>2</cp:revision>
  <cp:lastPrinted>2014-07-21T14:04:00Z</cp:lastPrinted>
  <dcterms:created xsi:type="dcterms:W3CDTF">2014-11-05T10:28:00Z</dcterms:created>
  <dcterms:modified xsi:type="dcterms:W3CDTF">2014-11-05T10:28:00Z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0x0101001E08BD4CF0EB9A4CBC18976C4557B0D7</vt:lpwstr>
  </property>
</Properties>
</file>