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29" w:rsidRPr="002366A8" w:rsidRDefault="004033D8" w:rsidP="002366A8">
      <w:pPr>
        <w:pStyle w:val="HeadHatzaotHok"/>
        <w:jc w:val="right"/>
        <w:rPr>
          <w:b w:val="0"/>
          <w:bCs w:val="0"/>
          <w:szCs w:val="20"/>
        </w:rPr>
      </w:pPr>
      <w:r w:rsidRPr="002366A8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ItemID"/>
      <w:r w:rsidR="004E021C" w:rsidRPr="002366A8">
        <w:rPr>
          <w:b w:val="0"/>
          <w:bCs w:val="0"/>
          <w:szCs w:val="20"/>
          <w:rtl/>
        </w:rPr>
        <w:t>548176</w:t>
      </w:r>
      <w:bookmarkEnd w:id="0"/>
    </w:p>
    <w:p w:rsidR="00E13C27" w:rsidRPr="00DB7060" w:rsidRDefault="00E13C27" w:rsidP="00E13C27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KnessetNum"/>
      <w:r w:rsidR="004E021C" w:rsidRPr="004E021C">
        <w:rPr>
          <w:sz w:val="28"/>
          <w:szCs w:val="28"/>
          <w:rtl/>
        </w:rPr>
        <w:t>התשע-עשרה</w:t>
      </w:r>
      <w:bookmarkEnd w:id="1"/>
    </w:p>
    <w:p w:rsidR="00E13C27" w:rsidRDefault="00E13C27" w:rsidP="00E13C27">
      <w:pPr>
        <w:rPr>
          <w:rFonts w:cs="David"/>
          <w:sz w:val="26"/>
          <w:szCs w:val="26"/>
          <w:rtl/>
        </w:rPr>
      </w:pPr>
    </w:p>
    <w:p w:rsidR="00CA4D86" w:rsidRPr="002C552E" w:rsidRDefault="00CA2F5F" w:rsidP="0091204F">
      <w:pPr>
        <w:pStyle w:val="David"/>
        <w:ind w:left="2880" w:firstLine="663"/>
        <w:rPr>
          <w:b/>
          <w:bCs/>
        </w:rPr>
      </w:pPr>
      <w:bookmarkStart w:id="2" w:name="MKsSingleOrMulti"/>
      <w:r w:rsidRPr="002C552E">
        <w:rPr>
          <w:b/>
          <w:bCs/>
          <w:rtl/>
        </w:rPr>
        <w:t>יוזמים:</w:t>
      </w:r>
      <w:r w:rsidR="008F55EE">
        <w:rPr>
          <w:b/>
          <w:bCs/>
          <w:rtl/>
        </w:rPr>
        <w:t xml:space="preserve"> </w:t>
      </w:r>
      <w:r w:rsidR="008F55EE">
        <w:rPr>
          <w:rFonts w:hint="cs"/>
          <w:b/>
          <w:bCs/>
          <w:rtl/>
        </w:rPr>
        <w:tab/>
      </w:r>
      <w:r w:rsidRPr="002C552E">
        <w:rPr>
          <w:b/>
          <w:bCs/>
          <w:rtl/>
        </w:rPr>
        <w:t>חברי הכנסת</w:t>
      </w:r>
      <w:bookmarkEnd w:id="2"/>
      <w:r w:rsidR="00B35784" w:rsidRPr="002C552E">
        <w:rPr>
          <w:b/>
          <w:bCs/>
        </w:rPr>
        <w:tab/>
      </w:r>
      <w:bookmarkStart w:id="3" w:name="MKs"/>
      <w:r w:rsidR="00CA4D86" w:rsidRPr="002C552E">
        <w:rPr>
          <w:b/>
          <w:bCs/>
          <w:rtl/>
        </w:rPr>
        <w:t>זבולון קלפה</w:t>
      </w:r>
    </w:p>
    <w:p w:rsidR="00CA4D86" w:rsidRPr="002C552E" w:rsidRDefault="00CA4D86" w:rsidP="0091204F">
      <w:pPr>
        <w:pStyle w:val="David"/>
        <w:ind w:left="2880" w:firstLine="663"/>
        <w:rPr>
          <w:b/>
          <w:bCs/>
        </w:rPr>
      </w:pP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  <w:rtl/>
        </w:rPr>
        <w:t>ישראל חסון</w:t>
      </w:r>
    </w:p>
    <w:p w:rsidR="00CA4D86" w:rsidRPr="002C552E" w:rsidRDefault="00CA4D86" w:rsidP="0091204F">
      <w:pPr>
        <w:pStyle w:val="David"/>
        <w:ind w:left="2880" w:firstLine="663"/>
        <w:rPr>
          <w:b/>
          <w:bCs/>
        </w:rPr>
      </w:pP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  <w:rtl/>
        </w:rPr>
        <w:t>אורית סטרוק</w:t>
      </w:r>
    </w:p>
    <w:p w:rsidR="00CA4D86" w:rsidRPr="002C552E" w:rsidRDefault="00CA4D86" w:rsidP="0091204F">
      <w:pPr>
        <w:pStyle w:val="David"/>
        <w:ind w:left="2880" w:firstLine="663"/>
        <w:rPr>
          <w:b/>
          <w:bCs/>
        </w:rPr>
      </w:pP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  <w:rtl/>
        </w:rPr>
        <w:t>שולי מועלם-רפאלי</w:t>
      </w:r>
    </w:p>
    <w:p w:rsidR="00CA4D86" w:rsidRPr="002C552E" w:rsidRDefault="00CA4D86" w:rsidP="0091204F">
      <w:pPr>
        <w:pStyle w:val="David"/>
        <w:ind w:left="2880" w:firstLine="663"/>
        <w:rPr>
          <w:b/>
          <w:bCs/>
        </w:rPr>
      </w:pP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  <w:rtl/>
        </w:rPr>
        <w:t>מרדכי יוגב</w:t>
      </w:r>
    </w:p>
    <w:p w:rsidR="00CA4D86" w:rsidRPr="002C552E" w:rsidRDefault="00CA4D86" w:rsidP="0091204F">
      <w:pPr>
        <w:pStyle w:val="David"/>
        <w:ind w:left="2880" w:firstLine="663"/>
        <w:rPr>
          <w:b/>
          <w:bCs/>
        </w:rPr>
      </w:pP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  <w:rtl/>
        </w:rPr>
        <w:t>יעקב מרגי</w:t>
      </w:r>
    </w:p>
    <w:p w:rsidR="00CA4D86" w:rsidRPr="002C552E" w:rsidRDefault="00CA4D86" w:rsidP="0091204F">
      <w:pPr>
        <w:pStyle w:val="David"/>
        <w:ind w:left="2880" w:firstLine="663"/>
        <w:rPr>
          <w:b/>
          <w:bCs/>
        </w:rPr>
      </w:pP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  <w:rtl/>
        </w:rPr>
        <w:t>יריב לוין</w:t>
      </w:r>
    </w:p>
    <w:p w:rsidR="00CA4D86" w:rsidRPr="002C552E" w:rsidRDefault="00CA4D86" w:rsidP="0091204F">
      <w:pPr>
        <w:pStyle w:val="David"/>
        <w:ind w:left="2880" w:firstLine="663"/>
        <w:rPr>
          <w:b/>
          <w:bCs/>
        </w:rPr>
      </w:pP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  <w:rtl/>
        </w:rPr>
        <w:t>גילה גמליאל</w:t>
      </w:r>
    </w:p>
    <w:p w:rsidR="00CA4D86" w:rsidRPr="002C552E" w:rsidRDefault="00CA4D86" w:rsidP="0091204F">
      <w:pPr>
        <w:pStyle w:val="David"/>
        <w:ind w:left="2880" w:firstLine="663"/>
        <w:rPr>
          <w:b/>
          <w:bCs/>
        </w:rPr>
      </w:pP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  <w:rtl/>
        </w:rPr>
        <w:t>דוד רותם</w:t>
      </w:r>
    </w:p>
    <w:p w:rsidR="00CA4D86" w:rsidRPr="002C552E" w:rsidRDefault="00CA4D86" w:rsidP="0091204F">
      <w:pPr>
        <w:pStyle w:val="David"/>
        <w:ind w:left="2880" w:firstLine="663"/>
        <w:rPr>
          <w:b/>
          <w:bCs/>
        </w:rPr>
      </w:pP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  <w:rtl/>
        </w:rPr>
        <w:t>נסים זאב</w:t>
      </w:r>
    </w:p>
    <w:p w:rsidR="00CA4D86" w:rsidRPr="002C552E" w:rsidRDefault="00CA4D86" w:rsidP="0091204F">
      <w:pPr>
        <w:pStyle w:val="David"/>
        <w:ind w:left="2880" w:firstLine="663"/>
        <w:rPr>
          <w:b/>
          <w:bCs/>
        </w:rPr>
      </w:pP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  <w:rtl/>
        </w:rPr>
        <w:t>אברהם מיכאלי</w:t>
      </w:r>
    </w:p>
    <w:p w:rsidR="00E13C27" w:rsidRPr="002C552E" w:rsidRDefault="00CA4D86" w:rsidP="0091204F">
      <w:pPr>
        <w:pStyle w:val="David"/>
        <w:ind w:left="2880" w:firstLine="663"/>
        <w:rPr>
          <w:b/>
          <w:bCs/>
          <w:rtl/>
        </w:rPr>
      </w:pP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</w:rPr>
        <w:tab/>
      </w:r>
      <w:r w:rsidRPr="002C552E">
        <w:rPr>
          <w:b/>
          <w:bCs/>
          <w:rtl/>
        </w:rPr>
        <w:t>יוני שטבון</w:t>
      </w:r>
      <w:bookmarkEnd w:id="3"/>
    </w:p>
    <w:p w:rsidR="00E13C27" w:rsidRDefault="0014195F" w:rsidP="00B35784">
      <w:pPr>
        <w:ind w:firstLine="3543"/>
        <w:rPr>
          <w:rFonts w:cs="David"/>
          <w:sz w:val="26"/>
          <w:szCs w:val="26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DAE6E" wp14:editId="3CF9B41D">
                <wp:simplePos x="0" y="0"/>
                <wp:positionH relativeFrom="column">
                  <wp:posOffset>1270</wp:posOffset>
                </wp:positionH>
                <wp:positionV relativeFrom="paragraph">
                  <wp:posOffset>48895</wp:posOffset>
                </wp:positionV>
                <wp:extent cx="3869690" cy="15875"/>
                <wp:effectExtent l="0" t="38100" r="0" b="41275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9690" cy="15875"/>
                        </a:xfrm>
                        <a:custGeom>
                          <a:avLst/>
                          <a:gdLst>
                            <a:gd name="T0" fmla="*/ 0 w 6094"/>
                            <a:gd name="T1" fmla="*/ 25 h 25"/>
                            <a:gd name="T2" fmla="*/ 6094 w 6094"/>
                            <a:gd name="T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94" h="25">
                              <a:moveTo>
                                <a:pt x="0" y="25"/>
                              </a:moveTo>
                              <a:lnTo>
                                <a:pt x="6094" y="0"/>
                              </a:lnTo>
                            </a:path>
                          </a:pathLst>
                        </a:cu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5.1pt,304.8pt,3.85pt" coordsize="609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" filled="f" stroked="f">
                <v:path arrowok="t" o:connecttype="custom" o:connectlocs="0,15875;3869690,0" o:connectangles="0,0"/>
              </v:polyline>
            </w:pict>
          </mc:Fallback>
        </mc:AlternateContent>
      </w:r>
      <w:bookmarkStart w:id="4" w:name="MKsSingleOrMulti1"/>
      <w:bookmarkEnd w:id="4"/>
      <w:r w:rsidR="002200A1">
        <w:rPr>
          <w:rFonts w:cs="David" w:hint="cs"/>
          <w:sz w:val="26"/>
          <w:szCs w:val="26"/>
          <w:rtl/>
        </w:rPr>
        <w:tab/>
      </w:r>
      <w:bookmarkStart w:id="5" w:name="MKs1"/>
      <w:bookmarkEnd w:id="5"/>
    </w:p>
    <w:p w:rsidR="00E13C27" w:rsidRDefault="0014195F" w:rsidP="00292712">
      <w:pPr>
        <w:ind w:left="2919" w:firstLine="720"/>
        <w:rPr>
          <w:rFonts w:cs="David"/>
          <w:sz w:val="26"/>
          <w:szCs w:val="26"/>
          <w:rtl/>
        </w:rPr>
      </w:pPr>
      <w:r>
        <w:rPr>
          <w:rFonts w:cs="David"/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F83A4" wp14:editId="00EA12E2">
                <wp:simplePos x="0" y="0"/>
                <wp:positionH relativeFrom="column">
                  <wp:posOffset>1270</wp:posOffset>
                </wp:positionH>
                <wp:positionV relativeFrom="paragraph">
                  <wp:posOffset>47625</wp:posOffset>
                </wp:positionV>
                <wp:extent cx="3879215" cy="17145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215" cy="17145"/>
                        </a:xfrm>
                        <a:custGeom>
                          <a:avLst/>
                          <a:gdLst>
                            <a:gd name="T0" fmla="*/ 0 w 6109"/>
                            <a:gd name="T1" fmla="*/ 27 h 27"/>
                            <a:gd name="T2" fmla="*/ 6109 w 6109"/>
                            <a:gd name="T3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09" h="27">
                              <a:moveTo>
                                <a:pt x="0" y="27"/>
                              </a:moveTo>
                              <a:lnTo>
                                <a:pt x="61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5.1pt,305.55pt,3.75pt" coordsize="6109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" filled="f">
                <v:path arrowok="t" o:connecttype="custom" o:connectlocs="0,17145;3879215,0" o:connectangles="0,0"/>
              </v:polyline>
            </w:pict>
          </mc:Fallback>
        </mc:AlternateContent>
      </w:r>
      <w:r w:rsidR="00E13C27">
        <w:rPr>
          <w:rFonts w:cs="David" w:hint="cs"/>
          <w:sz w:val="26"/>
          <w:szCs w:val="26"/>
          <w:rtl/>
        </w:rPr>
        <w:tab/>
      </w:r>
      <w:r w:rsidR="00E13C27">
        <w:rPr>
          <w:rFonts w:cs="David" w:hint="cs"/>
          <w:sz w:val="26"/>
          <w:szCs w:val="26"/>
          <w:rtl/>
        </w:rPr>
        <w:tab/>
      </w:r>
      <w:r w:rsidR="00E13C27">
        <w:rPr>
          <w:rFonts w:cs="David" w:hint="cs"/>
          <w:sz w:val="26"/>
          <w:szCs w:val="26"/>
          <w:rtl/>
        </w:rPr>
        <w:tab/>
      </w:r>
      <w:r w:rsidR="00E13C27">
        <w:rPr>
          <w:rFonts w:cs="David" w:hint="cs"/>
          <w:sz w:val="26"/>
          <w:szCs w:val="26"/>
          <w:rtl/>
        </w:rPr>
        <w:tab/>
      </w:r>
      <w:bookmarkStart w:id="6" w:name="LawNum"/>
      <w:r w:rsidR="007A4C7A" w:rsidRPr="007A4C7A">
        <w:rPr>
          <w:rFonts w:cs="David"/>
          <w:sz w:val="26"/>
          <w:szCs w:val="26"/>
          <w:rtl/>
        </w:rPr>
        <w:t>פ/2384/19</w:t>
      </w:r>
      <w:bookmarkEnd w:id="6"/>
      <w:r w:rsidR="00E13C27">
        <w:rPr>
          <w:rFonts w:cs="David" w:hint="cs"/>
          <w:sz w:val="26"/>
          <w:szCs w:val="26"/>
          <w:rtl/>
        </w:rPr>
        <w:tab/>
      </w:r>
      <w:r w:rsidR="00E13C27">
        <w:rPr>
          <w:rFonts w:cs="David" w:hint="cs"/>
          <w:sz w:val="26"/>
          <w:szCs w:val="26"/>
          <w:rtl/>
        </w:rPr>
        <w:tab/>
      </w:r>
      <w:r w:rsidR="00E13C27">
        <w:rPr>
          <w:rFonts w:cs="David" w:hint="cs"/>
          <w:sz w:val="26"/>
          <w:szCs w:val="26"/>
          <w:rtl/>
        </w:rPr>
        <w:tab/>
      </w:r>
    </w:p>
    <w:p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:rsidR="003B6152" w:rsidRDefault="00985FA3" w:rsidP="008F55EE">
      <w:pPr>
        <w:pStyle w:val="HeadHatzaotHok"/>
        <w:tabs>
          <w:tab w:val="left" w:pos="4071"/>
          <w:tab w:val="center" w:pos="4819"/>
        </w:tabs>
        <w:spacing w:before="0"/>
        <w:rPr>
          <w:rtl/>
        </w:rPr>
      </w:pPr>
      <w:bookmarkStart w:id="7" w:name="Title"/>
      <w:r w:rsidRPr="00985FA3">
        <w:rPr>
          <w:sz w:val="26"/>
          <w:rtl/>
        </w:rPr>
        <w:t xml:space="preserve">הצעת חוק הרשות לפיתוח הנגב (תיקון </w:t>
      </w:r>
      <w:r w:rsidR="008F55EE">
        <w:rPr>
          <w:rFonts w:hint="cs"/>
          <w:sz w:val="26"/>
          <w:rtl/>
        </w:rPr>
        <w:t>–</w:t>
      </w:r>
      <w:r w:rsidRPr="00985FA3">
        <w:rPr>
          <w:sz w:val="26"/>
          <w:rtl/>
        </w:rPr>
        <w:t xml:space="preserve"> שינוי הרכב הוועדה הבין-משרדית וערעור על המלצותיה), התשע"ד</w:t>
      </w:r>
      <w:r w:rsidR="008F55EE">
        <w:rPr>
          <w:rFonts w:hint="cs"/>
          <w:sz w:val="26"/>
          <w:rtl/>
        </w:rPr>
        <w:t>–</w:t>
      </w:r>
      <w:r w:rsidRPr="00985FA3">
        <w:rPr>
          <w:sz w:val="26"/>
          <w:rtl/>
        </w:rPr>
        <w:t>2014</w:t>
      </w:r>
      <w:bookmarkEnd w:id="7"/>
    </w:p>
    <w:tbl>
      <w:tblPr>
        <w:bidiVisual/>
        <w:tblW w:w="9636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623"/>
        <w:gridCol w:w="624"/>
        <w:gridCol w:w="624"/>
        <w:gridCol w:w="624"/>
        <w:gridCol w:w="624"/>
        <w:gridCol w:w="4648"/>
      </w:tblGrid>
      <w:tr w:rsidR="00D66BC4" w:rsidTr="008F55EE">
        <w:trPr>
          <w:cantSplit/>
        </w:trPr>
        <w:tc>
          <w:tcPr>
            <w:tcW w:w="1869" w:type="dxa"/>
          </w:tcPr>
          <w:p w:rsidR="00D66BC4" w:rsidRPr="008F55EE" w:rsidRDefault="001B4985" w:rsidP="008F55EE">
            <w:pPr>
              <w:pStyle w:val="TableSideHeading"/>
              <w:ind w:right="0"/>
            </w:pPr>
            <w:r w:rsidRPr="008F55EE">
              <w:rPr>
                <w:rFonts w:hint="cs"/>
                <w:rtl/>
              </w:rPr>
              <w:t>תיקון סעיף 6א</w:t>
            </w:r>
          </w:p>
        </w:tc>
        <w:tc>
          <w:tcPr>
            <w:tcW w:w="623" w:type="dxa"/>
          </w:tcPr>
          <w:p w:rsidR="00D66BC4" w:rsidRDefault="00964E96" w:rsidP="00D66BC4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4" w:type="dxa"/>
            <w:gridSpan w:val="5"/>
          </w:tcPr>
          <w:p w:rsidR="00D66BC4" w:rsidRPr="008F55EE" w:rsidRDefault="001B4985" w:rsidP="008F55EE">
            <w:pPr>
              <w:pStyle w:val="TableBlock"/>
            </w:pPr>
            <w:r w:rsidRPr="008F55EE">
              <w:rPr>
                <w:rFonts w:hint="cs"/>
                <w:rtl/>
              </w:rPr>
              <w:t>ב</w:t>
            </w:r>
            <w:r w:rsidR="00785659" w:rsidRPr="008F55EE">
              <w:rPr>
                <w:rFonts w:hint="cs"/>
                <w:rtl/>
              </w:rPr>
              <w:t xml:space="preserve">חוק </w:t>
            </w:r>
            <w:r w:rsidRPr="008F55EE">
              <w:rPr>
                <w:rFonts w:hint="cs"/>
                <w:rtl/>
              </w:rPr>
              <w:t>הרשות לפיתוח הנגב, התשנ"ב</w:t>
            </w:r>
            <w:r w:rsidR="002366A8" w:rsidRPr="008F55EE">
              <w:rPr>
                <w:rFonts w:hint="eastAsia"/>
                <w:rtl/>
              </w:rPr>
              <w:t>–</w:t>
            </w:r>
            <w:r w:rsidRPr="008F55EE">
              <w:rPr>
                <w:rFonts w:hint="cs"/>
                <w:rtl/>
              </w:rPr>
              <w:t>1991</w:t>
            </w:r>
            <w:r w:rsidRPr="008F55EE">
              <w:rPr>
                <w:sz w:val="14"/>
                <w:szCs w:val="20"/>
                <w:rtl/>
              </w:rPr>
              <w:footnoteReference w:id="2"/>
            </w:r>
            <w:r w:rsidRPr="008F55EE">
              <w:rPr>
                <w:rFonts w:hint="cs"/>
                <w:rtl/>
              </w:rPr>
              <w:t xml:space="preserve"> (להלן </w:t>
            </w:r>
            <w:r w:rsidRPr="008F55EE">
              <w:rPr>
                <w:rtl/>
              </w:rPr>
              <w:t>–</w:t>
            </w:r>
            <w:r w:rsidRPr="008F55EE">
              <w:rPr>
                <w:rFonts w:hint="cs"/>
                <w:rtl/>
              </w:rPr>
              <w:t xml:space="preserve"> החוק העיקרי), בסעיף 6א(א), אחרי פסקה (5) יבוא:</w:t>
            </w:r>
          </w:p>
        </w:tc>
      </w:tr>
      <w:tr w:rsidR="001B4985" w:rsidTr="008F55EE">
        <w:trPr>
          <w:cantSplit/>
        </w:trPr>
        <w:tc>
          <w:tcPr>
            <w:tcW w:w="1869" w:type="dxa"/>
          </w:tcPr>
          <w:p w:rsidR="001B4985" w:rsidRDefault="001B4985" w:rsidP="007E751D">
            <w:pPr>
              <w:pStyle w:val="TableSideHeading"/>
              <w:keepLines w:val="0"/>
            </w:pPr>
          </w:p>
        </w:tc>
        <w:tc>
          <w:tcPr>
            <w:tcW w:w="623" w:type="dxa"/>
          </w:tcPr>
          <w:p w:rsidR="001B4985" w:rsidRDefault="001B4985" w:rsidP="001B4985">
            <w:pPr>
              <w:pStyle w:val="TableText"/>
              <w:keepLines w:val="0"/>
            </w:pPr>
          </w:p>
        </w:tc>
        <w:tc>
          <w:tcPr>
            <w:tcW w:w="7144" w:type="dxa"/>
            <w:gridSpan w:val="5"/>
          </w:tcPr>
          <w:p w:rsidR="001B4985" w:rsidRPr="008F55EE" w:rsidRDefault="001B4985" w:rsidP="008F55EE">
            <w:pPr>
              <w:pStyle w:val="TableBlock"/>
            </w:pPr>
            <w:r w:rsidRPr="008F55EE">
              <w:rPr>
                <w:rFonts w:hint="cs"/>
                <w:rtl/>
              </w:rPr>
              <w:t>"(6)</w:t>
            </w:r>
            <w:r w:rsidR="002366A8" w:rsidRPr="008F55EE">
              <w:rPr>
                <w:rtl/>
              </w:rPr>
              <w:tab/>
            </w:r>
            <w:r w:rsidRPr="008F55EE">
              <w:rPr>
                <w:rFonts w:hint="cs"/>
                <w:rtl/>
              </w:rPr>
              <w:t xml:space="preserve">נציג שימנה המנהל הכללי של משרד ראש הממשלה </w:t>
            </w:r>
            <w:r w:rsidR="00D917F9" w:rsidRPr="008F55EE">
              <w:rPr>
                <w:rFonts w:hint="cs"/>
                <w:rtl/>
              </w:rPr>
              <w:t xml:space="preserve">מבין עובדי משרדו, </w:t>
            </w:r>
            <w:r w:rsidRPr="008F55EE">
              <w:rPr>
                <w:rFonts w:hint="cs"/>
                <w:rtl/>
              </w:rPr>
              <w:t>לפי המלצת יושב ראש החטיבה להתיישבות של ההסתדרות הציונית;</w:t>
            </w:r>
          </w:p>
        </w:tc>
      </w:tr>
      <w:tr w:rsidR="001B4985" w:rsidTr="008F55EE">
        <w:trPr>
          <w:cantSplit/>
        </w:trPr>
        <w:tc>
          <w:tcPr>
            <w:tcW w:w="1869" w:type="dxa"/>
          </w:tcPr>
          <w:p w:rsidR="001B4985" w:rsidRDefault="001B4985" w:rsidP="007E751D">
            <w:pPr>
              <w:pStyle w:val="TableSideHeading"/>
              <w:keepLines w:val="0"/>
            </w:pPr>
          </w:p>
        </w:tc>
        <w:tc>
          <w:tcPr>
            <w:tcW w:w="623" w:type="dxa"/>
          </w:tcPr>
          <w:p w:rsidR="001B4985" w:rsidRDefault="001B4985" w:rsidP="001B4985">
            <w:pPr>
              <w:pStyle w:val="TableText"/>
              <w:keepLines w:val="0"/>
            </w:pPr>
          </w:p>
        </w:tc>
        <w:tc>
          <w:tcPr>
            <w:tcW w:w="7144" w:type="dxa"/>
            <w:gridSpan w:val="5"/>
          </w:tcPr>
          <w:p w:rsidR="001B4985" w:rsidRPr="00C34DE2" w:rsidRDefault="001B4985" w:rsidP="008F55EE">
            <w:pPr>
              <w:pStyle w:val="TableBlock"/>
            </w:pPr>
            <w:r>
              <w:rPr>
                <w:rFonts w:hint="cs"/>
                <w:rtl/>
              </w:rPr>
              <w:t>(7)</w:t>
            </w:r>
            <w:r w:rsidR="002366A8">
              <w:rPr>
                <w:rtl/>
              </w:rPr>
              <w:tab/>
            </w:r>
            <w:r>
              <w:rPr>
                <w:rFonts w:hint="cs"/>
                <w:rtl/>
              </w:rPr>
              <w:t>נציג שימנה שר הבינוי והשיכון</w:t>
            </w:r>
            <w:r w:rsidR="00D917F9">
              <w:rPr>
                <w:rFonts w:hint="cs"/>
                <w:rtl/>
              </w:rPr>
              <w:t xml:space="preserve"> מבין עובדי רשות מקרקעי ישראל</w:t>
            </w:r>
            <w:r>
              <w:rPr>
                <w:rFonts w:hint="cs"/>
                <w:rtl/>
              </w:rPr>
              <w:t>, לפי המלצת מנהל רשות מקרקעי ישראל."</w:t>
            </w:r>
          </w:p>
        </w:tc>
      </w:tr>
      <w:tr w:rsidR="001B4985" w:rsidTr="008F55EE">
        <w:trPr>
          <w:cantSplit/>
        </w:trPr>
        <w:tc>
          <w:tcPr>
            <w:tcW w:w="1869" w:type="dxa"/>
          </w:tcPr>
          <w:p w:rsidR="001B4985" w:rsidRPr="008F55EE" w:rsidRDefault="001B4985" w:rsidP="008F55EE">
            <w:pPr>
              <w:pStyle w:val="TableSideHeading"/>
              <w:ind w:right="0"/>
            </w:pPr>
            <w:r w:rsidRPr="008F55EE">
              <w:rPr>
                <w:rFonts w:hint="cs"/>
                <w:rtl/>
              </w:rPr>
              <w:t xml:space="preserve">הוספת סעיף 6ב </w:t>
            </w:r>
          </w:p>
        </w:tc>
        <w:tc>
          <w:tcPr>
            <w:tcW w:w="623" w:type="dxa"/>
          </w:tcPr>
          <w:p w:rsidR="001B4985" w:rsidRDefault="001B4985" w:rsidP="001B4985">
            <w:pPr>
              <w:pStyle w:val="TableText"/>
              <w:keepLines w:val="0"/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7144" w:type="dxa"/>
            <w:gridSpan w:val="5"/>
          </w:tcPr>
          <w:p w:rsidR="001B4985" w:rsidRPr="00C34DE2" w:rsidRDefault="001B4985" w:rsidP="008F55EE">
            <w:pPr>
              <w:pStyle w:val="TableBlock"/>
            </w:pPr>
            <w:r>
              <w:rPr>
                <w:rFonts w:hint="cs"/>
                <w:rtl/>
              </w:rPr>
              <w:t>אחרי סעיף 6א לחוק העיקרי יבוא:</w:t>
            </w:r>
          </w:p>
        </w:tc>
      </w:tr>
      <w:tr w:rsidR="00964E96" w:rsidTr="008F55EE">
        <w:trPr>
          <w:cantSplit/>
        </w:trPr>
        <w:tc>
          <w:tcPr>
            <w:tcW w:w="1869" w:type="dxa"/>
          </w:tcPr>
          <w:p w:rsidR="00964E96" w:rsidRDefault="00964E96">
            <w:pPr>
              <w:pStyle w:val="TableSideHeading"/>
              <w:keepLines w:val="0"/>
            </w:pPr>
          </w:p>
        </w:tc>
        <w:tc>
          <w:tcPr>
            <w:tcW w:w="623" w:type="dxa"/>
          </w:tcPr>
          <w:p w:rsidR="00964E96" w:rsidRDefault="00964E96">
            <w:pPr>
              <w:pStyle w:val="TableText"/>
              <w:keepLines w:val="0"/>
            </w:pPr>
          </w:p>
        </w:tc>
        <w:tc>
          <w:tcPr>
            <w:tcW w:w="1872" w:type="dxa"/>
            <w:gridSpan w:val="3"/>
          </w:tcPr>
          <w:p w:rsidR="00964E96" w:rsidRPr="008F55EE" w:rsidRDefault="00964E96" w:rsidP="008F55EE">
            <w:pPr>
              <w:pStyle w:val="TableInnerSideHeading"/>
              <w:ind w:right="0"/>
            </w:pPr>
            <w:r w:rsidRPr="008F55EE">
              <w:rPr>
                <w:rFonts w:hint="cs"/>
                <w:rtl/>
              </w:rPr>
              <w:t>"עתירה מינהלית</w:t>
            </w:r>
            <w:r w:rsidR="008F55EE" w:rsidRPr="008F55EE">
              <w:t xml:space="preserve"> </w:t>
            </w:r>
          </w:p>
        </w:tc>
        <w:tc>
          <w:tcPr>
            <w:tcW w:w="624" w:type="dxa"/>
          </w:tcPr>
          <w:p w:rsidR="00964E96" w:rsidRDefault="00964E96">
            <w:pPr>
              <w:pStyle w:val="TableText"/>
            </w:pPr>
            <w:r>
              <w:rPr>
                <w:rFonts w:hint="cs"/>
                <w:rtl/>
              </w:rPr>
              <w:t>6ב.</w:t>
            </w:r>
          </w:p>
        </w:tc>
        <w:tc>
          <w:tcPr>
            <w:tcW w:w="4648" w:type="dxa"/>
          </w:tcPr>
          <w:p w:rsidR="00964E96" w:rsidRPr="008F55EE" w:rsidRDefault="00D856DA" w:rsidP="008F55EE">
            <w:pPr>
              <w:pStyle w:val="TableBlock"/>
            </w:pPr>
            <w:r w:rsidRPr="008F55EE">
              <w:rPr>
                <w:rFonts w:hint="cs"/>
                <w:rtl/>
              </w:rPr>
              <w:t>מי ש</w:t>
            </w:r>
            <w:r w:rsidR="00201CC2" w:rsidRPr="008F55EE">
              <w:rPr>
                <w:rFonts w:hint="cs"/>
                <w:rtl/>
              </w:rPr>
              <w:t xml:space="preserve">מנהל מיזם </w:t>
            </w:r>
            <w:r w:rsidRPr="008F55EE">
              <w:rPr>
                <w:rFonts w:hint="cs"/>
                <w:rtl/>
              </w:rPr>
              <w:t xml:space="preserve">חקלאי-תיירותי משולב </w:t>
            </w:r>
            <w:r w:rsidR="00201CC2" w:rsidRPr="008F55EE">
              <w:rPr>
                <w:rFonts w:hint="cs"/>
                <w:rtl/>
              </w:rPr>
              <w:t>בנגב</w:t>
            </w:r>
            <w:r w:rsidRPr="008F55EE">
              <w:rPr>
                <w:rFonts w:hint="cs"/>
                <w:rtl/>
              </w:rPr>
              <w:t>,</w:t>
            </w:r>
            <w:r w:rsidR="002F5F76" w:rsidRPr="008F55EE">
              <w:rPr>
                <w:rFonts w:hint="cs"/>
                <w:rtl/>
              </w:rPr>
              <w:t xml:space="preserve"> </w:t>
            </w:r>
            <w:r w:rsidR="001853C3" w:rsidRPr="008F55EE">
              <w:rPr>
                <w:rFonts w:hint="cs"/>
                <w:rtl/>
              </w:rPr>
              <w:t xml:space="preserve">המבקש זכויות במקרקעין לצורך המשך ניהול המיזם </w:t>
            </w:r>
            <w:r w:rsidR="001853C3" w:rsidRPr="008F55EE">
              <w:rPr>
                <w:rtl/>
              </w:rPr>
              <w:t>לפי סעיף 6א</w:t>
            </w:r>
            <w:r w:rsidR="001853C3" w:rsidRPr="008F55EE">
              <w:rPr>
                <w:rFonts w:hint="cs"/>
                <w:rtl/>
              </w:rPr>
              <w:t xml:space="preserve"> או סעיף 5(ג)(2) לחוק הרשות לפיתוח הנגב (תיקון מס' 4), התש"ע</w:t>
            </w:r>
            <w:r w:rsidRPr="008F55EE">
              <w:rPr>
                <w:rFonts w:hint="eastAsia"/>
                <w:rtl/>
              </w:rPr>
              <w:t>–</w:t>
            </w:r>
            <w:r w:rsidR="001853C3" w:rsidRPr="008F55EE">
              <w:rPr>
                <w:rFonts w:hint="cs"/>
                <w:rtl/>
              </w:rPr>
              <w:t>2010</w:t>
            </w:r>
            <w:r w:rsidR="001853C3" w:rsidRPr="008F55EE">
              <w:rPr>
                <w:sz w:val="14"/>
                <w:szCs w:val="20"/>
                <w:rtl/>
              </w:rPr>
              <w:footnoteReference w:id="3"/>
            </w:r>
            <w:r w:rsidR="001853C3" w:rsidRPr="008F55EE">
              <w:rPr>
                <w:rFonts w:hint="cs"/>
                <w:rtl/>
              </w:rPr>
              <w:t xml:space="preserve"> (בחוק זה </w:t>
            </w:r>
            <w:r w:rsidR="001853C3" w:rsidRPr="008F55EE">
              <w:rPr>
                <w:rtl/>
              </w:rPr>
              <w:t>–</w:t>
            </w:r>
            <w:r w:rsidR="001853C3" w:rsidRPr="008F55EE">
              <w:rPr>
                <w:rFonts w:hint="cs"/>
                <w:rtl/>
              </w:rPr>
              <w:t xml:space="preserve"> מבקש), הרואה עצמו </w:t>
            </w:r>
            <w:r w:rsidR="002F5F76" w:rsidRPr="008F55EE">
              <w:rPr>
                <w:rFonts w:hint="cs"/>
                <w:rtl/>
              </w:rPr>
              <w:t>נפגע מהמלצת</w:t>
            </w:r>
            <w:r w:rsidR="00964E96" w:rsidRPr="008F55EE">
              <w:rPr>
                <w:rFonts w:hint="cs"/>
                <w:rtl/>
              </w:rPr>
              <w:t xml:space="preserve"> </w:t>
            </w:r>
            <w:r w:rsidR="008F55EE">
              <w:rPr>
                <w:rtl/>
              </w:rPr>
              <w:br/>
            </w:r>
            <w:r w:rsidR="00964E96" w:rsidRPr="008F55EE">
              <w:rPr>
                <w:rFonts w:hint="cs"/>
                <w:rtl/>
              </w:rPr>
              <w:t xml:space="preserve">הוועדה הבין-משרדית שלא </w:t>
            </w:r>
            <w:r w:rsidR="00775AA4" w:rsidRPr="008F55EE">
              <w:rPr>
                <w:rFonts w:hint="cs"/>
                <w:rtl/>
              </w:rPr>
              <w:t>להקצות</w:t>
            </w:r>
            <w:r w:rsidRPr="008F55EE">
              <w:rPr>
                <w:rFonts w:hint="cs"/>
                <w:rtl/>
              </w:rPr>
              <w:t xml:space="preserve"> מקרקעין,</w:t>
            </w:r>
            <w:r w:rsidR="008F55EE">
              <w:rPr>
                <w:rtl/>
              </w:rPr>
              <w:br/>
            </w:r>
            <w:r w:rsidRPr="008F55EE">
              <w:rPr>
                <w:rFonts w:hint="cs"/>
                <w:rtl/>
              </w:rPr>
              <w:t xml:space="preserve"> </w:t>
            </w:r>
          </w:p>
        </w:tc>
      </w:tr>
      <w:tr w:rsidR="008F55EE" w:rsidTr="008F55EE">
        <w:trPr>
          <w:cantSplit/>
          <w:trHeight w:val="60"/>
        </w:trPr>
        <w:tc>
          <w:tcPr>
            <w:tcW w:w="1869" w:type="dxa"/>
          </w:tcPr>
          <w:p w:rsidR="008F55EE" w:rsidRDefault="008F55EE">
            <w:pPr>
              <w:pStyle w:val="TableSideHeading"/>
            </w:pPr>
          </w:p>
        </w:tc>
        <w:tc>
          <w:tcPr>
            <w:tcW w:w="623" w:type="dxa"/>
          </w:tcPr>
          <w:p w:rsidR="008F55EE" w:rsidRDefault="008F55EE">
            <w:pPr>
              <w:pStyle w:val="TableText"/>
            </w:pPr>
          </w:p>
        </w:tc>
        <w:tc>
          <w:tcPr>
            <w:tcW w:w="624" w:type="dxa"/>
          </w:tcPr>
          <w:p w:rsidR="008F55EE" w:rsidRDefault="008F55EE">
            <w:pPr>
              <w:pStyle w:val="TableText"/>
            </w:pPr>
          </w:p>
        </w:tc>
        <w:tc>
          <w:tcPr>
            <w:tcW w:w="624" w:type="dxa"/>
          </w:tcPr>
          <w:p w:rsidR="008F55EE" w:rsidRDefault="008F55EE">
            <w:pPr>
              <w:pStyle w:val="TableText"/>
            </w:pPr>
          </w:p>
        </w:tc>
        <w:tc>
          <w:tcPr>
            <w:tcW w:w="624" w:type="dxa"/>
          </w:tcPr>
          <w:p w:rsidR="008F55EE" w:rsidRDefault="008F55EE">
            <w:pPr>
              <w:pStyle w:val="TableText"/>
            </w:pPr>
          </w:p>
        </w:tc>
        <w:tc>
          <w:tcPr>
            <w:tcW w:w="624" w:type="dxa"/>
          </w:tcPr>
          <w:p w:rsidR="008F55EE" w:rsidRDefault="008F55EE">
            <w:pPr>
              <w:pStyle w:val="TableText"/>
            </w:pPr>
          </w:p>
        </w:tc>
        <w:tc>
          <w:tcPr>
            <w:tcW w:w="4648" w:type="dxa"/>
          </w:tcPr>
          <w:p w:rsidR="008F55EE" w:rsidRDefault="008F55EE" w:rsidP="008F55EE">
            <w:pPr>
              <w:pStyle w:val="TableBlock"/>
            </w:pPr>
            <w:r w:rsidRPr="008F55EE">
              <w:rPr>
                <w:rFonts w:hint="cs"/>
                <w:rtl/>
              </w:rPr>
              <w:t>או להקצות מקרקעין באופן חלקי,</w:t>
            </w:r>
            <w:r w:rsidRPr="008F55EE">
              <w:rPr>
                <w:rtl/>
              </w:rPr>
              <w:t xml:space="preserve"> </w:t>
            </w:r>
            <w:r w:rsidRPr="008F55EE">
              <w:rPr>
                <w:rFonts w:hint="cs"/>
                <w:rtl/>
              </w:rPr>
              <w:t xml:space="preserve">רשאי </w:t>
            </w:r>
            <w:r w:rsidRPr="008F55EE">
              <w:rPr>
                <w:rtl/>
              </w:rPr>
              <w:t>לעתור</w:t>
            </w:r>
            <w:r w:rsidRPr="008F55EE">
              <w:rPr>
                <w:rFonts w:hint="cs"/>
                <w:rtl/>
              </w:rPr>
              <w:t xml:space="preserve"> </w:t>
            </w:r>
            <w:r w:rsidRPr="008F55EE">
              <w:rPr>
                <w:rFonts w:hint="eastAsia"/>
                <w:rtl/>
              </w:rPr>
              <w:t>לבית</w:t>
            </w:r>
            <w:r w:rsidRPr="008F55EE">
              <w:rPr>
                <w:rtl/>
              </w:rPr>
              <w:t xml:space="preserve"> המשפט לעניינים מינהליים </w:t>
            </w:r>
            <w:r w:rsidRPr="008F55EE">
              <w:rPr>
                <w:rFonts w:hint="cs"/>
                <w:rtl/>
              </w:rPr>
              <w:t>ב</w:t>
            </w:r>
            <w:r w:rsidRPr="008F55EE">
              <w:rPr>
                <w:rtl/>
              </w:rPr>
              <w:t xml:space="preserve">תוך </w:t>
            </w:r>
            <w:r w:rsidRPr="008F55EE">
              <w:rPr>
                <w:rFonts w:hint="cs"/>
                <w:rtl/>
              </w:rPr>
              <w:t>ארבעים וחמישה</w:t>
            </w:r>
            <w:r w:rsidRPr="008F55EE">
              <w:rPr>
                <w:rtl/>
              </w:rPr>
              <w:t xml:space="preserve"> </w:t>
            </w:r>
            <w:r w:rsidRPr="008F55EE">
              <w:rPr>
                <w:rFonts w:hint="cs"/>
                <w:rtl/>
              </w:rPr>
              <w:t>ימים</w:t>
            </w:r>
            <w:r w:rsidRPr="008F55EE">
              <w:rPr>
                <w:rtl/>
              </w:rPr>
              <w:t xml:space="preserve"> מיום שניתנה </w:t>
            </w:r>
            <w:r w:rsidRPr="008F55EE">
              <w:rPr>
                <w:rFonts w:hint="eastAsia"/>
                <w:rtl/>
              </w:rPr>
              <w:t>ההמלצה</w:t>
            </w:r>
            <w:r w:rsidRPr="008F55EE">
              <w:rPr>
                <w:rtl/>
              </w:rPr>
              <w:t xml:space="preserve"> </w:t>
            </w:r>
            <w:r w:rsidRPr="008F55EE">
              <w:rPr>
                <w:rFonts w:hint="eastAsia"/>
                <w:rtl/>
              </w:rPr>
              <w:t>או</w:t>
            </w:r>
            <w:r w:rsidRPr="008F55EE">
              <w:rPr>
                <w:rtl/>
              </w:rPr>
              <w:t xml:space="preserve"> </w:t>
            </w:r>
            <w:r w:rsidRPr="008F55EE">
              <w:rPr>
                <w:rFonts w:hint="cs"/>
                <w:rtl/>
              </w:rPr>
              <w:t>ב</w:t>
            </w:r>
            <w:r w:rsidRPr="008F55EE">
              <w:rPr>
                <w:rFonts w:hint="eastAsia"/>
                <w:rtl/>
              </w:rPr>
              <w:t>תוך</w:t>
            </w:r>
            <w:r w:rsidRPr="008F55EE">
              <w:rPr>
                <w:rtl/>
              </w:rPr>
              <w:t xml:space="preserve"> </w:t>
            </w:r>
            <w:r w:rsidRPr="008F55EE">
              <w:rPr>
                <w:rFonts w:hint="cs"/>
                <w:rtl/>
              </w:rPr>
              <w:t>שלושים</w:t>
            </w:r>
            <w:r w:rsidRPr="008F55EE">
              <w:rPr>
                <w:rtl/>
              </w:rPr>
              <w:t xml:space="preserve"> </w:t>
            </w:r>
            <w:r w:rsidRPr="008F55EE">
              <w:rPr>
                <w:rFonts w:hint="cs"/>
                <w:rtl/>
              </w:rPr>
              <w:t>ימים</w:t>
            </w:r>
            <w:r w:rsidRPr="008F55EE">
              <w:rPr>
                <w:rtl/>
              </w:rPr>
              <w:t xml:space="preserve"> </w:t>
            </w:r>
            <w:r w:rsidRPr="008F55EE">
              <w:rPr>
                <w:rFonts w:hint="eastAsia"/>
                <w:rtl/>
              </w:rPr>
              <w:t>ממועד</w:t>
            </w:r>
            <w:r w:rsidRPr="008F55EE">
              <w:rPr>
                <w:rtl/>
              </w:rPr>
              <w:t xml:space="preserve"> </w:t>
            </w:r>
            <w:r w:rsidRPr="008F55EE">
              <w:rPr>
                <w:rFonts w:hint="eastAsia"/>
                <w:rtl/>
              </w:rPr>
              <w:t>כניסת</w:t>
            </w:r>
            <w:r w:rsidRPr="008F55EE">
              <w:rPr>
                <w:rtl/>
              </w:rPr>
              <w:t xml:space="preserve"> </w:t>
            </w:r>
            <w:r w:rsidRPr="008F55EE">
              <w:rPr>
                <w:rFonts w:hint="eastAsia"/>
                <w:rtl/>
              </w:rPr>
              <w:t>חוק</w:t>
            </w:r>
            <w:r w:rsidRPr="008F55EE">
              <w:rPr>
                <w:rtl/>
              </w:rPr>
              <w:t xml:space="preserve"> </w:t>
            </w:r>
            <w:r w:rsidRPr="008F55EE">
              <w:rPr>
                <w:rFonts w:hint="cs"/>
                <w:rtl/>
              </w:rPr>
              <w:t xml:space="preserve">הרשות לפיתוח הנגב (תיקון </w:t>
            </w:r>
            <w:r w:rsidRPr="008F55EE">
              <w:rPr>
                <w:rtl/>
              </w:rPr>
              <w:t>–</w:t>
            </w:r>
            <w:r w:rsidRPr="008F55EE">
              <w:rPr>
                <w:rFonts w:hint="cs"/>
                <w:rtl/>
              </w:rPr>
              <w:t xml:space="preserve"> שינוי הרכב הוועדה הבין-משרדית וערעור על המלצותיה), התשע"ד</w:t>
            </w:r>
            <w:r w:rsidRPr="008F55EE">
              <w:rPr>
                <w:rFonts w:hint="eastAsia"/>
                <w:rtl/>
              </w:rPr>
              <w:t>–</w:t>
            </w:r>
            <w:r w:rsidRPr="008F55EE">
              <w:rPr>
                <w:rFonts w:hint="cs"/>
                <w:rtl/>
              </w:rPr>
              <w:t xml:space="preserve">2014, </w:t>
            </w:r>
            <w:r w:rsidRPr="008F55EE">
              <w:rPr>
                <w:rFonts w:hint="eastAsia"/>
                <w:rtl/>
              </w:rPr>
              <w:t>לתוקף</w:t>
            </w:r>
            <w:r w:rsidRPr="008F55EE">
              <w:rPr>
                <w:rtl/>
              </w:rPr>
              <w:t xml:space="preserve">, </w:t>
            </w:r>
            <w:r w:rsidRPr="008F55EE">
              <w:rPr>
                <w:rFonts w:hint="eastAsia"/>
                <w:rtl/>
              </w:rPr>
              <w:t>לפי</w:t>
            </w:r>
            <w:r w:rsidRPr="008F55EE">
              <w:rPr>
                <w:rtl/>
              </w:rPr>
              <w:t xml:space="preserve"> </w:t>
            </w:r>
            <w:r w:rsidRPr="008F55EE">
              <w:rPr>
                <w:rFonts w:hint="eastAsia"/>
                <w:rtl/>
              </w:rPr>
              <w:t>המאוחר</w:t>
            </w:r>
            <w:r w:rsidRPr="008F55EE">
              <w:rPr>
                <w:rtl/>
              </w:rPr>
              <w:t xml:space="preserve">; </w:t>
            </w:r>
            <w:r w:rsidRPr="008F55EE">
              <w:rPr>
                <w:rFonts w:hint="eastAsia"/>
                <w:rtl/>
              </w:rPr>
              <w:t>לעניין</w:t>
            </w:r>
            <w:r w:rsidRPr="008F55EE">
              <w:rPr>
                <w:rtl/>
              </w:rPr>
              <w:t xml:space="preserve"> </w:t>
            </w:r>
            <w:r w:rsidRPr="008F55EE">
              <w:rPr>
                <w:rFonts w:hint="eastAsia"/>
                <w:rtl/>
              </w:rPr>
              <w:t>זה</w:t>
            </w:r>
            <w:r w:rsidRPr="008F55EE">
              <w:rPr>
                <w:rtl/>
              </w:rPr>
              <w:t xml:space="preserve">, </w:t>
            </w:r>
            <w:r w:rsidRPr="008F55EE">
              <w:rPr>
                <w:rFonts w:hint="eastAsia"/>
                <w:rtl/>
              </w:rPr>
              <w:t>יראו</w:t>
            </w:r>
            <w:r w:rsidRPr="008F55EE">
              <w:rPr>
                <w:rtl/>
              </w:rPr>
              <w:t xml:space="preserve"> </w:t>
            </w:r>
            <w:r w:rsidRPr="008F55EE">
              <w:rPr>
                <w:rFonts w:hint="eastAsia"/>
                <w:rtl/>
              </w:rPr>
              <w:t>את</w:t>
            </w:r>
            <w:r w:rsidRPr="008F55EE">
              <w:rPr>
                <w:rtl/>
              </w:rPr>
              <w:t xml:space="preserve"> </w:t>
            </w:r>
            <w:r w:rsidRPr="008F55EE">
              <w:rPr>
                <w:rFonts w:hint="eastAsia"/>
                <w:rtl/>
              </w:rPr>
              <w:t>המלצת</w:t>
            </w:r>
            <w:r w:rsidRPr="008F55EE">
              <w:rPr>
                <w:rFonts w:hint="cs"/>
                <w:rtl/>
              </w:rPr>
              <w:t xml:space="preserve"> הוועדה כהחלטה שניתן לעתור עליה לפי חוק בתי משפט לעניינים מינהליים, התש"ס</w:t>
            </w:r>
            <w:r w:rsidRPr="008F55EE">
              <w:rPr>
                <w:rtl/>
              </w:rPr>
              <w:t>–</w:t>
            </w:r>
            <w:r w:rsidRPr="008F55EE">
              <w:rPr>
                <w:rFonts w:hint="cs"/>
                <w:rtl/>
              </w:rPr>
              <w:t>2000</w:t>
            </w:r>
            <w:r w:rsidRPr="008F55EE">
              <w:rPr>
                <w:sz w:val="14"/>
                <w:szCs w:val="20"/>
                <w:rtl/>
              </w:rPr>
              <w:footnoteReference w:id="4"/>
            </w:r>
            <w:r w:rsidRPr="008F55EE">
              <w:rPr>
                <w:rFonts w:hint="cs"/>
                <w:rtl/>
              </w:rPr>
              <w:t xml:space="preserve"> (להלן </w:t>
            </w:r>
            <w:r w:rsidRPr="008F55EE">
              <w:rPr>
                <w:rtl/>
              </w:rPr>
              <w:t>–</w:t>
            </w:r>
            <w:r w:rsidRPr="008F55EE">
              <w:rPr>
                <w:rFonts w:hint="cs"/>
                <w:rtl/>
              </w:rPr>
              <w:t xml:space="preserve"> חוק בתי משפט לעניינים מינהליים)."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D66BC4" w:rsidTr="008F55EE">
        <w:trPr>
          <w:cantSplit/>
        </w:trPr>
        <w:tc>
          <w:tcPr>
            <w:tcW w:w="1869" w:type="dxa"/>
          </w:tcPr>
          <w:p w:rsidR="00D66BC4" w:rsidRPr="008F55EE" w:rsidRDefault="00964E96" w:rsidP="008F55EE">
            <w:pPr>
              <w:pStyle w:val="TableSideHeading"/>
              <w:ind w:right="0"/>
            </w:pPr>
            <w:r w:rsidRPr="008F55EE">
              <w:rPr>
                <w:rFonts w:hint="cs"/>
                <w:rtl/>
              </w:rPr>
              <w:t>תיקון חוק</w:t>
            </w:r>
            <w:r w:rsidR="008F55EE">
              <w:rPr>
                <w:rFonts w:hint="cs"/>
                <w:rtl/>
              </w:rPr>
              <w:t xml:space="preserve"> </w:t>
            </w:r>
            <w:r w:rsidRPr="008F55EE">
              <w:rPr>
                <w:rFonts w:hint="cs"/>
                <w:rtl/>
              </w:rPr>
              <w:t>הרשות לפיתוח הנגב (תיקון מס' 4)</w:t>
            </w:r>
          </w:p>
        </w:tc>
        <w:tc>
          <w:tcPr>
            <w:tcW w:w="623" w:type="dxa"/>
          </w:tcPr>
          <w:p w:rsidR="00D66BC4" w:rsidRDefault="00DA70B1" w:rsidP="00DA70B1">
            <w:pPr>
              <w:pStyle w:val="TableText"/>
              <w:keepLines w:val="0"/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7144" w:type="dxa"/>
            <w:gridSpan w:val="5"/>
          </w:tcPr>
          <w:p w:rsidR="00D66BC4" w:rsidRPr="008F55EE" w:rsidRDefault="00964E96" w:rsidP="00786E05">
            <w:pPr>
              <w:pStyle w:val="TableBlock"/>
            </w:pPr>
            <w:r w:rsidRPr="008F55EE">
              <w:rPr>
                <w:rFonts w:hint="cs"/>
                <w:rtl/>
              </w:rPr>
              <w:t>ב</w:t>
            </w:r>
            <w:r w:rsidR="00D856DA" w:rsidRPr="008F55EE">
              <w:rPr>
                <w:rFonts w:hint="cs"/>
                <w:rtl/>
              </w:rPr>
              <w:t xml:space="preserve">חוק </w:t>
            </w:r>
            <w:r w:rsidRPr="008F55EE">
              <w:rPr>
                <w:rFonts w:hint="cs"/>
                <w:rtl/>
              </w:rPr>
              <w:t>הרשות לפיתוח הנגב (תיקון מס' 4), התש"ע</w:t>
            </w:r>
            <w:r w:rsidRPr="008F55EE">
              <w:rPr>
                <w:rtl/>
              </w:rPr>
              <w:t>–</w:t>
            </w:r>
            <w:r w:rsidRPr="008F55EE">
              <w:rPr>
                <w:rFonts w:hint="cs"/>
                <w:rtl/>
              </w:rPr>
              <w:t>2010</w:t>
            </w:r>
            <w:r w:rsidR="00786E05">
              <w:rPr>
                <w:rStyle w:val="a6"/>
                <w:rtl/>
              </w:rPr>
              <w:footnoteReference w:id="5"/>
            </w:r>
            <w:r w:rsidR="008F55EE">
              <w:rPr>
                <w:rFonts w:hint="cs"/>
                <w:rtl/>
              </w:rPr>
              <w:t>, בסעיף 5</w:t>
            </w:r>
            <w:r w:rsidRPr="008F55EE">
              <w:rPr>
                <w:rFonts w:hint="cs"/>
                <w:rtl/>
              </w:rPr>
              <w:t xml:space="preserve"> </w:t>
            </w:r>
            <w:r w:rsidR="00D856DA" w:rsidRPr="008F55EE">
              <w:rPr>
                <w:rFonts w:hint="eastAsia"/>
                <w:rtl/>
              </w:rPr>
              <w:t>–</w:t>
            </w:r>
            <w:r w:rsidR="008F55EE">
              <w:rPr>
                <w:rFonts w:hint="cs"/>
                <w:rtl/>
              </w:rPr>
              <w:t xml:space="preserve"> </w:t>
            </w:r>
          </w:p>
        </w:tc>
      </w:tr>
      <w:tr w:rsidR="00964E96" w:rsidTr="008F55EE">
        <w:trPr>
          <w:cantSplit/>
        </w:trPr>
        <w:tc>
          <w:tcPr>
            <w:tcW w:w="1869" w:type="dxa"/>
          </w:tcPr>
          <w:p w:rsidR="00964E96" w:rsidRDefault="00964E96" w:rsidP="007E751D">
            <w:pPr>
              <w:pStyle w:val="TableSideHeading"/>
              <w:keepLines w:val="0"/>
            </w:pPr>
          </w:p>
        </w:tc>
        <w:tc>
          <w:tcPr>
            <w:tcW w:w="623" w:type="dxa"/>
          </w:tcPr>
          <w:p w:rsidR="00964E96" w:rsidRDefault="00964E96" w:rsidP="00964E96">
            <w:pPr>
              <w:pStyle w:val="TableText"/>
              <w:keepLines w:val="0"/>
            </w:pPr>
          </w:p>
        </w:tc>
        <w:tc>
          <w:tcPr>
            <w:tcW w:w="7144" w:type="dxa"/>
            <w:gridSpan w:val="5"/>
          </w:tcPr>
          <w:p w:rsidR="00964E96" w:rsidRPr="008F55EE" w:rsidRDefault="00964E96" w:rsidP="008F55EE">
            <w:pPr>
              <w:pStyle w:val="TableBlock"/>
            </w:pPr>
            <w:r w:rsidRPr="008F55EE">
              <w:rPr>
                <w:rFonts w:hint="cs"/>
                <w:rtl/>
              </w:rPr>
              <w:t>(</w:t>
            </w:r>
            <w:r w:rsidR="00D856DA" w:rsidRPr="008F55EE">
              <w:rPr>
                <w:rFonts w:hint="cs"/>
                <w:rtl/>
              </w:rPr>
              <w:t>1</w:t>
            </w:r>
            <w:r w:rsidRPr="008F55EE">
              <w:rPr>
                <w:rFonts w:hint="cs"/>
                <w:rtl/>
              </w:rPr>
              <w:t>)</w:t>
            </w:r>
            <w:r w:rsidRPr="008F55EE">
              <w:rPr>
                <w:rtl/>
              </w:rPr>
              <w:tab/>
            </w:r>
            <w:r w:rsidR="008D37B8" w:rsidRPr="008F55EE">
              <w:rPr>
                <w:rFonts w:hint="cs"/>
                <w:rtl/>
              </w:rPr>
              <w:t>בסעיף קטן (ג)(2)</w:t>
            </w:r>
            <w:r w:rsidR="00787CB1" w:rsidRPr="008F55EE">
              <w:rPr>
                <w:rFonts w:hint="cs"/>
                <w:rtl/>
              </w:rPr>
              <w:t>, בפסקת משנה (ב), בסופה</w:t>
            </w:r>
            <w:r w:rsidR="008F55EE">
              <w:rPr>
                <w:rFonts w:hint="cs"/>
                <w:rtl/>
              </w:rPr>
              <w:t xml:space="preserve"> יבוא "</w:t>
            </w:r>
            <w:r w:rsidR="008F55EE" w:rsidRPr="00D30BA4">
              <w:rPr>
                <w:rFonts w:hint="cs"/>
                <w:rtl/>
              </w:rPr>
              <w:t xml:space="preserve">לעניין </w:t>
            </w:r>
            <w:r w:rsidR="008F55EE">
              <w:rPr>
                <w:rFonts w:hint="cs"/>
                <w:rtl/>
              </w:rPr>
              <w:t>זה</w:t>
            </w:r>
            <w:r w:rsidR="008F55EE" w:rsidRPr="00D30BA4">
              <w:rPr>
                <w:rFonts w:hint="cs"/>
                <w:rtl/>
              </w:rPr>
              <w:t>,</w:t>
            </w:r>
            <w:r w:rsidR="008F55EE">
              <w:rPr>
                <w:rFonts w:hint="cs"/>
                <w:rtl/>
              </w:rPr>
              <w:t xml:space="preserve"> יראו מיזם כמיזם שנתקיימה בו היתכנות תכנונית, אם התקיימו בו כל אלה:</w:t>
            </w:r>
          </w:p>
        </w:tc>
      </w:tr>
      <w:tr w:rsidR="00964E96" w:rsidTr="008F55EE">
        <w:trPr>
          <w:cantSplit/>
        </w:trPr>
        <w:tc>
          <w:tcPr>
            <w:tcW w:w="1869" w:type="dxa"/>
          </w:tcPr>
          <w:p w:rsidR="00964E96" w:rsidRDefault="00964E96">
            <w:pPr>
              <w:pStyle w:val="TableSideHeading"/>
            </w:pPr>
          </w:p>
        </w:tc>
        <w:tc>
          <w:tcPr>
            <w:tcW w:w="623" w:type="dxa"/>
          </w:tcPr>
          <w:p w:rsidR="00964E96" w:rsidRDefault="00964E96" w:rsidP="00964E96">
            <w:pPr>
              <w:pStyle w:val="TableText"/>
            </w:pPr>
          </w:p>
        </w:tc>
        <w:tc>
          <w:tcPr>
            <w:tcW w:w="624" w:type="dxa"/>
          </w:tcPr>
          <w:p w:rsidR="00964E96" w:rsidRDefault="00964E96">
            <w:pPr>
              <w:pStyle w:val="TableText"/>
            </w:pPr>
          </w:p>
        </w:tc>
        <w:tc>
          <w:tcPr>
            <w:tcW w:w="6520" w:type="dxa"/>
            <w:gridSpan w:val="4"/>
          </w:tcPr>
          <w:p w:rsidR="00964E96" w:rsidRDefault="00964E96" w:rsidP="008F55EE">
            <w:pPr>
              <w:pStyle w:val="TableBlock"/>
            </w:pPr>
            <w:r>
              <w:rPr>
                <w:rFonts w:hint="cs"/>
                <w:rtl/>
              </w:rPr>
              <w:t>(1)</w:t>
            </w:r>
            <w:r w:rsidR="002366A8">
              <w:rPr>
                <w:rtl/>
              </w:rPr>
              <w:tab/>
            </w:r>
            <w:r>
              <w:rPr>
                <w:rFonts w:hint="cs"/>
                <w:rtl/>
              </w:rPr>
              <w:t>הוועדה הבין-משרדית מצאה כי קיימת תכנית בת-תוקף המאפשרת</w:t>
            </w:r>
            <w:r w:rsidRPr="006C4CE5">
              <w:rPr>
                <w:rFonts w:hint="cs"/>
                <w:rtl/>
              </w:rPr>
              <w:t xml:space="preserve"> </w:t>
            </w:r>
            <w:r w:rsidR="00787CB1">
              <w:rPr>
                <w:rFonts w:hint="cs"/>
                <w:rtl/>
              </w:rPr>
              <w:t xml:space="preserve">לעשות במקרקעין </w:t>
            </w:r>
            <w:r>
              <w:rPr>
                <w:rFonts w:hint="cs"/>
                <w:rtl/>
              </w:rPr>
              <w:t xml:space="preserve">שימוש חקלאי </w:t>
            </w:r>
            <w:r w:rsidR="00787CB1">
              <w:rPr>
                <w:rFonts w:hint="cs"/>
                <w:rtl/>
              </w:rPr>
              <w:t xml:space="preserve">או </w:t>
            </w:r>
            <w:r>
              <w:rPr>
                <w:rFonts w:hint="cs"/>
                <w:rtl/>
              </w:rPr>
              <w:t xml:space="preserve">שימוש תיירותי או שני השימושים </w:t>
            </w:r>
            <w:r w:rsidR="00787CB1">
              <w:rPr>
                <w:rFonts w:hint="cs"/>
                <w:rtl/>
              </w:rPr>
              <w:t>ביחד</w:t>
            </w:r>
            <w:r>
              <w:rPr>
                <w:rFonts w:hint="cs"/>
                <w:rtl/>
              </w:rPr>
              <w:t>;</w:t>
            </w:r>
          </w:p>
        </w:tc>
      </w:tr>
      <w:tr w:rsidR="00964E96" w:rsidTr="008F55EE">
        <w:trPr>
          <w:cantSplit/>
        </w:trPr>
        <w:tc>
          <w:tcPr>
            <w:tcW w:w="1869" w:type="dxa"/>
          </w:tcPr>
          <w:p w:rsidR="00964E96" w:rsidRDefault="00964E96">
            <w:pPr>
              <w:pStyle w:val="TableSideHeading"/>
            </w:pPr>
          </w:p>
        </w:tc>
        <w:tc>
          <w:tcPr>
            <w:tcW w:w="623" w:type="dxa"/>
          </w:tcPr>
          <w:p w:rsidR="00964E96" w:rsidRDefault="00964E96" w:rsidP="00964E96">
            <w:pPr>
              <w:pStyle w:val="TableText"/>
            </w:pPr>
          </w:p>
        </w:tc>
        <w:tc>
          <w:tcPr>
            <w:tcW w:w="624" w:type="dxa"/>
          </w:tcPr>
          <w:p w:rsidR="00964E96" w:rsidRDefault="00964E96">
            <w:pPr>
              <w:pStyle w:val="TableText"/>
            </w:pPr>
          </w:p>
        </w:tc>
        <w:tc>
          <w:tcPr>
            <w:tcW w:w="6520" w:type="dxa"/>
            <w:gridSpan w:val="4"/>
          </w:tcPr>
          <w:p w:rsidR="00964E96" w:rsidRDefault="00964E96" w:rsidP="008F55EE">
            <w:pPr>
              <w:pStyle w:val="TableBlock"/>
            </w:pPr>
            <w:r>
              <w:rPr>
                <w:rFonts w:hint="cs"/>
                <w:rtl/>
              </w:rPr>
              <w:t>(2)</w:t>
            </w:r>
            <w:r w:rsidR="002366A8"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רשות מקרקעי ישראל, אדם או גוף אחר הפועל מטעמה, או </w:t>
            </w:r>
            <w:r w:rsidR="001853C3">
              <w:rPr>
                <w:rFonts w:hint="cs"/>
                <w:rtl/>
              </w:rPr>
              <w:t>המבקש</w:t>
            </w:r>
            <w:r>
              <w:rPr>
                <w:rFonts w:hint="cs"/>
                <w:rtl/>
              </w:rPr>
              <w:t xml:space="preserve">, </w:t>
            </w:r>
            <w:r w:rsidRPr="006C4CE5">
              <w:rPr>
                <w:rFonts w:hint="cs"/>
                <w:rtl/>
              </w:rPr>
              <w:t>הגיש</w:t>
            </w:r>
            <w:r w:rsidR="001853C3">
              <w:rPr>
                <w:rFonts w:hint="cs"/>
                <w:rtl/>
              </w:rPr>
              <w:t>ו</w:t>
            </w:r>
            <w:r w:rsidRPr="006C4CE5">
              <w:rPr>
                <w:rFonts w:hint="cs"/>
                <w:rtl/>
              </w:rPr>
              <w:t xml:space="preserve"> או התחייב</w:t>
            </w:r>
            <w:r w:rsidR="001853C3">
              <w:rPr>
                <w:rFonts w:hint="cs"/>
                <w:rtl/>
              </w:rPr>
              <w:t>ו</w:t>
            </w:r>
            <w:r w:rsidRPr="006C4CE5">
              <w:rPr>
                <w:rFonts w:hint="cs"/>
                <w:rtl/>
              </w:rPr>
              <w:t xml:space="preserve"> להגיש</w:t>
            </w:r>
            <w:r w:rsidR="00594637">
              <w:rPr>
                <w:rFonts w:hint="cs"/>
                <w:rtl/>
              </w:rPr>
              <w:t xml:space="preserve"> לוועדה הבין-משרדית</w:t>
            </w:r>
            <w:r w:rsidRPr="006C4CE5">
              <w:rPr>
                <w:rFonts w:hint="cs"/>
                <w:rtl/>
              </w:rPr>
              <w:t xml:space="preserve">, </w:t>
            </w:r>
            <w:r w:rsidR="002366A8">
              <w:rPr>
                <w:rFonts w:hint="cs"/>
                <w:rtl/>
              </w:rPr>
              <w:t>ב</w:t>
            </w:r>
            <w:r w:rsidRPr="006C4CE5">
              <w:rPr>
                <w:rFonts w:hint="cs"/>
                <w:rtl/>
              </w:rPr>
              <w:t>תוך פרק זמן שתקבע הוועדה הבין-משרדית</w:t>
            </w:r>
            <w:r>
              <w:rPr>
                <w:rFonts w:hint="cs"/>
                <w:rtl/>
              </w:rPr>
              <w:t xml:space="preserve"> ואשר לא יפחת משנתיים ולא יעלה על חמש שנים</w:t>
            </w:r>
            <w:r w:rsidRPr="006C4CE5">
              <w:rPr>
                <w:rFonts w:hint="cs"/>
                <w:rtl/>
              </w:rPr>
              <w:t xml:space="preserve">, תכנית </w:t>
            </w:r>
            <w:r w:rsidR="00594637">
              <w:rPr>
                <w:rFonts w:hint="cs"/>
                <w:rtl/>
              </w:rPr>
              <w:t>המאפשרת</w:t>
            </w:r>
            <w:r w:rsidRPr="006C4CE5">
              <w:rPr>
                <w:rFonts w:hint="cs"/>
                <w:rtl/>
              </w:rPr>
              <w:t xml:space="preserve"> את </w:t>
            </w:r>
            <w:r w:rsidR="001853C3">
              <w:rPr>
                <w:rFonts w:hint="cs"/>
                <w:rtl/>
              </w:rPr>
              <w:t>ניהולו ופיתוחו</w:t>
            </w:r>
            <w:r w:rsidR="00594637">
              <w:rPr>
                <w:rFonts w:hint="cs"/>
                <w:rtl/>
              </w:rPr>
              <w:t xml:space="preserve"> של</w:t>
            </w:r>
            <w:r w:rsidRPr="006C4CE5">
              <w:rPr>
                <w:rFonts w:hint="cs"/>
                <w:rtl/>
              </w:rPr>
              <w:t xml:space="preserve"> מיזם חקלאי-תיירותי משולב במקרקעין</w:t>
            </w:r>
            <w:r>
              <w:rPr>
                <w:rFonts w:hint="cs"/>
                <w:rtl/>
              </w:rPr>
              <w:t>;</w:t>
            </w:r>
          </w:p>
        </w:tc>
      </w:tr>
      <w:tr w:rsidR="00964E96" w:rsidTr="008F55EE">
        <w:trPr>
          <w:cantSplit/>
        </w:trPr>
        <w:tc>
          <w:tcPr>
            <w:tcW w:w="1869" w:type="dxa"/>
          </w:tcPr>
          <w:p w:rsidR="00964E96" w:rsidRDefault="00964E96">
            <w:pPr>
              <w:pStyle w:val="TableSideHeading"/>
            </w:pPr>
          </w:p>
        </w:tc>
        <w:tc>
          <w:tcPr>
            <w:tcW w:w="623" w:type="dxa"/>
          </w:tcPr>
          <w:p w:rsidR="00964E96" w:rsidRDefault="00964E96" w:rsidP="00964E96">
            <w:pPr>
              <w:pStyle w:val="TableText"/>
            </w:pPr>
          </w:p>
        </w:tc>
        <w:tc>
          <w:tcPr>
            <w:tcW w:w="624" w:type="dxa"/>
          </w:tcPr>
          <w:p w:rsidR="00964E96" w:rsidRDefault="00964E96">
            <w:pPr>
              <w:pStyle w:val="TableText"/>
            </w:pPr>
          </w:p>
        </w:tc>
        <w:tc>
          <w:tcPr>
            <w:tcW w:w="6520" w:type="dxa"/>
            <w:gridSpan w:val="4"/>
          </w:tcPr>
          <w:p w:rsidR="00964E96" w:rsidRDefault="00964E96" w:rsidP="008F55EE">
            <w:pPr>
              <w:pStyle w:val="TableBlock"/>
            </w:pPr>
            <w:r>
              <w:rPr>
                <w:rFonts w:hint="cs"/>
                <w:rtl/>
              </w:rPr>
              <w:t xml:space="preserve">(3) </w:t>
            </w:r>
            <w:r w:rsidR="002366A8"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הוועדה הבין-משרדית, לאחר ששמעה עמדת מתכנן </w:t>
            </w:r>
            <w:r w:rsidR="00594637">
              <w:rPr>
                <w:rFonts w:hint="cs"/>
                <w:rtl/>
              </w:rPr>
              <w:t>שמונה</w:t>
            </w:r>
            <w:r>
              <w:rPr>
                <w:rFonts w:hint="cs"/>
                <w:rtl/>
              </w:rPr>
              <w:t xml:space="preserve"> מטעמה, קבעה כי לא ניתן לשלול את האפשרות כי עד תום המועד הקבוע בסעיף קטן (ו), תאושר תכנית כאמור בפסקת משנה </w:t>
            </w:r>
            <w:r w:rsidR="00594637">
              <w:rPr>
                <w:rFonts w:hint="cs"/>
                <w:rtl/>
              </w:rPr>
              <w:t>(2</w:t>
            </w:r>
            <w:r>
              <w:rPr>
                <w:rFonts w:hint="cs"/>
                <w:rtl/>
              </w:rPr>
              <w:t>)</w:t>
            </w:r>
            <w:r w:rsidR="008F55EE">
              <w:rPr>
                <w:rFonts w:hint="cs"/>
                <w:rtl/>
              </w:rPr>
              <w:t>.";</w:t>
            </w:r>
          </w:p>
        </w:tc>
      </w:tr>
      <w:tr w:rsidR="00964E96" w:rsidTr="008F55EE">
        <w:trPr>
          <w:cantSplit/>
        </w:trPr>
        <w:tc>
          <w:tcPr>
            <w:tcW w:w="1869" w:type="dxa"/>
          </w:tcPr>
          <w:p w:rsidR="00964E96" w:rsidRDefault="00964E96" w:rsidP="007E751D">
            <w:pPr>
              <w:pStyle w:val="TableSideHeading"/>
              <w:keepLines w:val="0"/>
            </w:pPr>
          </w:p>
        </w:tc>
        <w:tc>
          <w:tcPr>
            <w:tcW w:w="623" w:type="dxa"/>
          </w:tcPr>
          <w:p w:rsidR="00964E96" w:rsidRDefault="00964E96" w:rsidP="00964E96">
            <w:pPr>
              <w:pStyle w:val="TableText"/>
              <w:keepLines w:val="0"/>
            </w:pPr>
          </w:p>
        </w:tc>
        <w:tc>
          <w:tcPr>
            <w:tcW w:w="7144" w:type="dxa"/>
            <w:gridSpan w:val="5"/>
          </w:tcPr>
          <w:p w:rsidR="00964E96" w:rsidRPr="00C34DE2" w:rsidRDefault="00964E96" w:rsidP="008F55EE">
            <w:pPr>
              <w:pStyle w:val="TableBlock"/>
            </w:pPr>
            <w:r>
              <w:rPr>
                <w:rFonts w:hint="cs"/>
                <w:rtl/>
              </w:rPr>
              <w:t>(</w:t>
            </w:r>
            <w:r w:rsidR="00D856DA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ab/>
            </w:r>
            <w:r w:rsidRPr="00D30BA4">
              <w:rPr>
                <w:rFonts w:hint="cs"/>
                <w:rtl/>
              </w:rPr>
              <w:t xml:space="preserve">בסעיף </w:t>
            </w:r>
            <w:r>
              <w:rPr>
                <w:rFonts w:hint="cs"/>
                <w:rtl/>
              </w:rPr>
              <w:t xml:space="preserve">קטן </w:t>
            </w:r>
            <w:r w:rsidRPr="00D30BA4">
              <w:rPr>
                <w:rFonts w:hint="cs"/>
                <w:rtl/>
              </w:rPr>
              <w:t>(ו)</w:t>
            </w:r>
            <w:r w:rsidR="008D37B8">
              <w:rPr>
                <w:rFonts w:hint="cs"/>
                <w:rtl/>
              </w:rPr>
              <w:t>,</w:t>
            </w:r>
            <w:r w:rsidRPr="00D30BA4">
              <w:rPr>
                <w:rFonts w:hint="cs"/>
                <w:rtl/>
              </w:rPr>
              <w:t xml:space="preserve"> במקום "עד תום עשר שנים מיום התחילה" יבוא "עד תום עשר </w:t>
            </w:r>
            <w:r>
              <w:rPr>
                <w:rFonts w:hint="cs"/>
                <w:rtl/>
              </w:rPr>
              <w:t xml:space="preserve">שנים מיום אישור </w:t>
            </w:r>
            <w:r w:rsidRPr="001853C3">
              <w:rPr>
                <w:rFonts w:hint="eastAsia"/>
                <w:rtl/>
              </w:rPr>
              <w:t>השר</w:t>
            </w:r>
            <w:r w:rsidR="001853C3" w:rsidRPr="001853C3">
              <w:rPr>
                <w:rtl/>
              </w:rPr>
              <w:t xml:space="preserve"> לפי סעיף קטן (ב)</w:t>
            </w:r>
            <w:r w:rsidRPr="001853C3">
              <w:rPr>
                <w:rtl/>
              </w:rPr>
              <w:t xml:space="preserve">, </w:t>
            </w:r>
            <w:r w:rsidRPr="001853C3">
              <w:rPr>
                <w:rFonts w:hint="eastAsia"/>
                <w:rtl/>
              </w:rPr>
              <w:t>או</w:t>
            </w:r>
            <w:r w:rsidRPr="001853C3">
              <w:rPr>
                <w:rtl/>
              </w:rPr>
              <w:t xml:space="preserve"> </w:t>
            </w:r>
            <w:r w:rsidRPr="001853C3">
              <w:rPr>
                <w:rFonts w:hint="eastAsia"/>
                <w:rtl/>
              </w:rPr>
              <w:t>עד</w:t>
            </w:r>
            <w:r w:rsidRPr="001853C3">
              <w:rPr>
                <w:rtl/>
              </w:rPr>
              <w:t xml:space="preserve"> </w:t>
            </w:r>
            <w:r w:rsidRPr="001853C3">
              <w:rPr>
                <w:rFonts w:hint="eastAsia"/>
                <w:rtl/>
              </w:rPr>
              <w:t>תום</w:t>
            </w:r>
            <w:r w:rsidRPr="001853C3">
              <w:rPr>
                <w:rtl/>
              </w:rPr>
              <w:t xml:space="preserve"> </w:t>
            </w:r>
            <w:r w:rsidRPr="001853C3">
              <w:rPr>
                <w:rFonts w:hint="eastAsia"/>
                <w:rtl/>
              </w:rPr>
              <w:t>חמש</w:t>
            </w:r>
            <w:r w:rsidRPr="001853C3">
              <w:rPr>
                <w:rtl/>
              </w:rPr>
              <w:t xml:space="preserve"> </w:t>
            </w:r>
            <w:r w:rsidRPr="001853C3">
              <w:rPr>
                <w:rFonts w:hint="eastAsia"/>
                <w:rtl/>
              </w:rPr>
              <w:t>עשרה</w:t>
            </w:r>
            <w:r w:rsidRPr="001853C3">
              <w:rPr>
                <w:rtl/>
              </w:rPr>
              <w:t xml:space="preserve"> </w:t>
            </w:r>
            <w:r w:rsidRPr="001853C3">
              <w:rPr>
                <w:rFonts w:hint="eastAsia"/>
                <w:rtl/>
              </w:rPr>
              <w:t>שנים</w:t>
            </w:r>
            <w:r w:rsidRPr="001853C3">
              <w:rPr>
                <w:rtl/>
              </w:rPr>
              <w:t xml:space="preserve"> </w:t>
            </w:r>
            <w:r w:rsidRPr="001853C3">
              <w:rPr>
                <w:rFonts w:hint="eastAsia"/>
                <w:rtl/>
              </w:rPr>
              <w:t>מיום</w:t>
            </w:r>
            <w:r w:rsidRPr="001853C3">
              <w:rPr>
                <w:rtl/>
              </w:rPr>
              <w:t xml:space="preserve"> </w:t>
            </w:r>
            <w:r w:rsidRPr="001853C3">
              <w:rPr>
                <w:rFonts w:hint="eastAsia"/>
                <w:rtl/>
              </w:rPr>
              <w:t>התחילה</w:t>
            </w:r>
            <w:r w:rsidRPr="001853C3">
              <w:rPr>
                <w:rtl/>
              </w:rPr>
              <w:t xml:space="preserve">, </w:t>
            </w:r>
            <w:r w:rsidRPr="001853C3">
              <w:rPr>
                <w:rFonts w:hint="eastAsia"/>
                <w:rtl/>
              </w:rPr>
              <w:t>לפי</w:t>
            </w:r>
            <w:r w:rsidRPr="001853C3">
              <w:rPr>
                <w:rtl/>
              </w:rPr>
              <w:t xml:space="preserve"> </w:t>
            </w:r>
            <w:r w:rsidRPr="001853C3">
              <w:rPr>
                <w:rFonts w:hint="eastAsia"/>
                <w:rtl/>
              </w:rPr>
              <w:t>המאוחר</w:t>
            </w:r>
            <w:r w:rsidRPr="001853C3">
              <w:rPr>
                <w:rtl/>
              </w:rPr>
              <w:t>"</w:t>
            </w:r>
            <w:r w:rsidR="002366A8">
              <w:rPr>
                <w:rFonts w:hint="cs"/>
                <w:rtl/>
              </w:rPr>
              <w:t>.</w:t>
            </w:r>
          </w:p>
        </w:tc>
      </w:tr>
      <w:tr w:rsidR="00534DE5" w:rsidTr="008F55EE">
        <w:trPr>
          <w:cantSplit/>
        </w:trPr>
        <w:tc>
          <w:tcPr>
            <w:tcW w:w="1869" w:type="dxa"/>
          </w:tcPr>
          <w:p w:rsidR="00534DE5" w:rsidRDefault="00534DE5" w:rsidP="007E751D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חוק בתי משפט לעניינים מ</w:t>
            </w:r>
            <w:r w:rsidR="008F55EE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נהליים</w:t>
            </w:r>
          </w:p>
        </w:tc>
        <w:tc>
          <w:tcPr>
            <w:tcW w:w="623" w:type="dxa"/>
          </w:tcPr>
          <w:p w:rsidR="00534DE5" w:rsidRDefault="00534DE5" w:rsidP="00534DE5">
            <w:pPr>
              <w:pStyle w:val="TableText"/>
              <w:keepLines w:val="0"/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7144" w:type="dxa"/>
            <w:gridSpan w:val="5"/>
          </w:tcPr>
          <w:p w:rsidR="00534DE5" w:rsidRPr="008F55EE" w:rsidRDefault="00534DE5" w:rsidP="008F55EE">
            <w:pPr>
              <w:pStyle w:val="TableBlock"/>
            </w:pPr>
            <w:r w:rsidRPr="008F55EE">
              <w:rPr>
                <w:rFonts w:hint="cs"/>
                <w:rtl/>
              </w:rPr>
              <w:t xml:space="preserve">בחוק בתי משפט לעניינים מינהליים, בתוספת הראשונה, </w:t>
            </w:r>
            <w:r w:rsidR="001853C3" w:rsidRPr="008F55EE">
              <w:rPr>
                <w:rFonts w:hint="cs"/>
                <w:rtl/>
              </w:rPr>
              <w:t>בסופה</w:t>
            </w:r>
            <w:r w:rsidRPr="008F55EE">
              <w:rPr>
                <w:rFonts w:hint="cs"/>
                <w:rtl/>
              </w:rPr>
              <w:t xml:space="preserve"> יבוא:</w:t>
            </w:r>
          </w:p>
        </w:tc>
      </w:tr>
      <w:tr w:rsidR="008D37B8" w:rsidTr="008F55EE">
        <w:trPr>
          <w:cantSplit/>
        </w:trPr>
        <w:tc>
          <w:tcPr>
            <w:tcW w:w="1869" w:type="dxa"/>
          </w:tcPr>
          <w:p w:rsidR="008D37B8" w:rsidRDefault="008D37B8" w:rsidP="007E751D">
            <w:pPr>
              <w:pStyle w:val="TableSideHeading"/>
              <w:keepLines w:val="0"/>
            </w:pPr>
          </w:p>
        </w:tc>
        <w:tc>
          <w:tcPr>
            <w:tcW w:w="623" w:type="dxa"/>
          </w:tcPr>
          <w:p w:rsidR="008D37B8" w:rsidRDefault="008D37B8" w:rsidP="008D37B8">
            <w:pPr>
              <w:pStyle w:val="TableText"/>
              <w:keepLines w:val="0"/>
            </w:pPr>
          </w:p>
        </w:tc>
        <w:tc>
          <w:tcPr>
            <w:tcW w:w="7144" w:type="dxa"/>
            <w:gridSpan w:val="5"/>
          </w:tcPr>
          <w:p w:rsidR="008D37B8" w:rsidRPr="00C34DE2" w:rsidRDefault="008F55EE" w:rsidP="008F55EE">
            <w:pPr>
              <w:pStyle w:val="TableBlock"/>
            </w:pPr>
            <w:r>
              <w:rPr>
                <w:rFonts w:hint="cs"/>
                <w:sz w:val="26"/>
                <w:rtl/>
              </w:rPr>
              <w:t>"51.</w:t>
            </w:r>
            <w:r w:rsidR="008D37B8" w:rsidRPr="00D30BA4">
              <w:rPr>
                <w:rFonts w:hint="cs"/>
                <w:sz w:val="26"/>
                <w:rtl/>
              </w:rPr>
              <w:t xml:space="preserve"> </w:t>
            </w:r>
            <w:r w:rsidR="002366A8">
              <w:rPr>
                <w:sz w:val="26"/>
                <w:rtl/>
              </w:rPr>
              <w:tab/>
            </w:r>
            <w:r w:rsidR="00785659">
              <w:rPr>
                <w:rFonts w:hint="cs"/>
                <w:sz w:val="26"/>
                <w:rtl/>
              </w:rPr>
              <w:t>הקצאת מקרקעין</w:t>
            </w:r>
            <w:r w:rsidR="008D37B8" w:rsidRPr="00D30BA4">
              <w:rPr>
                <w:rFonts w:hint="cs"/>
                <w:sz w:val="26"/>
                <w:rtl/>
              </w:rPr>
              <w:t xml:space="preserve"> </w:t>
            </w:r>
            <w:r w:rsidR="008D37B8" w:rsidRPr="00D30BA4">
              <w:rPr>
                <w:sz w:val="26"/>
                <w:rtl/>
              </w:rPr>
              <w:t>–</w:t>
            </w:r>
            <w:r w:rsidR="008D37B8" w:rsidRPr="00D30BA4">
              <w:rPr>
                <w:rFonts w:hint="cs"/>
                <w:sz w:val="26"/>
                <w:rtl/>
              </w:rPr>
              <w:t xml:space="preserve"> </w:t>
            </w:r>
            <w:r w:rsidR="00785659">
              <w:rPr>
                <w:rFonts w:hint="cs"/>
                <w:sz w:val="26"/>
                <w:rtl/>
              </w:rPr>
              <w:t>המלצה</w:t>
            </w:r>
            <w:r w:rsidR="008D37B8" w:rsidRPr="00D30BA4">
              <w:rPr>
                <w:rFonts w:hint="cs"/>
                <w:sz w:val="26"/>
                <w:rtl/>
              </w:rPr>
              <w:t xml:space="preserve"> </w:t>
            </w:r>
            <w:r w:rsidR="00785659">
              <w:rPr>
                <w:rFonts w:hint="cs"/>
                <w:sz w:val="26"/>
                <w:rtl/>
              </w:rPr>
              <w:t xml:space="preserve">של </w:t>
            </w:r>
            <w:r w:rsidR="008D37B8" w:rsidRPr="00D30BA4">
              <w:rPr>
                <w:rFonts w:hint="cs"/>
                <w:sz w:val="26"/>
                <w:rtl/>
              </w:rPr>
              <w:t>הוועדה הבין-משרדית</w:t>
            </w:r>
            <w:r w:rsidR="001853C3">
              <w:rPr>
                <w:rFonts w:hint="cs"/>
                <w:sz w:val="26"/>
                <w:rtl/>
              </w:rPr>
              <w:t xml:space="preserve"> </w:t>
            </w:r>
            <w:r w:rsidR="008D37B8" w:rsidRPr="00D30BA4">
              <w:rPr>
                <w:rFonts w:hint="cs"/>
                <w:sz w:val="26"/>
                <w:rtl/>
              </w:rPr>
              <w:t xml:space="preserve">לפי </w:t>
            </w:r>
            <w:r w:rsidR="00785659">
              <w:rPr>
                <w:rFonts w:hint="cs"/>
                <w:sz w:val="26"/>
                <w:rtl/>
              </w:rPr>
              <w:t>סעיף 6א ל</w:t>
            </w:r>
            <w:r w:rsidR="008D37B8" w:rsidRPr="00D30BA4">
              <w:rPr>
                <w:rFonts w:hint="cs"/>
                <w:sz w:val="26"/>
                <w:rtl/>
              </w:rPr>
              <w:t>חוק הרשות לפיתוח הנגב</w:t>
            </w:r>
            <w:r w:rsidR="00785659">
              <w:rPr>
                <w:rFonts w:hint="cs"/>
                <w:rtl/>
              </w:rPr>
              <w:t>, התשנ"ב</w:t>
            </w:r>
            <w:r w:rsidR="00D856DA">
              <w:rPr>
                <w:rFonts w:hint="eastAsia"/>
                <w:rtl/>
              </w:rPr>
              <w:t>–</w:t>
            </w:r>
            <w:r w:rsidR="00785659">
              <w:rPr>
                <w:rFonts w:hint="cs"/>
                <w:rtl/>
              </w:rPr>
              <w:t>1991</w:t>
            </w:r>
            <w:r w:rsidR="00785659">
              <w:rPr>
                <w:rStyle w:val="a6"/>
                <w:rtl/>
              </w:rPr>
              <w:footnoteReference w:id="6"/>
            </w:r>
            <w:r w:rsidR="00D856DA">
              <w:rPr>
                <w:rFonts w:hint="cs"/>
                <w:rtl/>
              </w:rPr>
              <w:t>,</w:t>
            </w:r>
            <w:r w:rsidR="001853C3" w:rsidRPr="0091652C">
              <w:rPr>
                <w:rtl/>
              </w:rPr>
              <w:t xml:space="preserve"> </w:t>
            </w:r>
            <w:r w:rsidR="001853C3">
              <w:rPr>
                <w:rFonts w:hint="cs"/>
                <w:rtl/>
              </w:rPr>
              <w:t>או סעיף 5(ג)(2) לחוק הרשות לפיתוח הנגב (תיקון מס' 4), התש"ע</w:t>
            </w:r>
            <w:r w:rsidR="00D856DA">
              <w:rPr>
                <w:rFonts w:hint="eastAsia"/>
                <w:rtl/>
              </w:rPr>
              <w:t>–</w:t>
            </w:r>
            <w:r w:rsidR="001853C3">
              <w:rPr>
                <w:rFonts w:hint="cs"/>
                <w:rtl/>
              </w:rPr>
              <w:t>2010</w:t>
            </w:r>
            <w:r w:rsidR="001853C3">
              <w:rPr>
                <w:rStyle w:val="a6"/>
                <w:rtl/>
              </w:rPr>
              <w:footnoteReference w:id="7"/>
            </w:r>
            <w:r w:rsidR="001853C3">
              <w:rPr>
                <w:rFonts w:hint="cs"/>
                <w:sz w:val="26"/>
                <w:rtl/>
              </w:rPr>
              <w:t>, למעט החלטה של שר</w:t>
            </w:r>
            <w:r w:rsidR="008D37B8">
              <w:rPr>
                <w:rFonts w:hint="cs"/>
                <w:sz w:val="26"/>
                <w:rtl/>
              </w:rPr>
              <w:t>.</w:t>
            </w:r>
            <w:r w:rsidR="008D37B8" w:rsidRPr="00D30BA4">
              <w:rPr>
                <w:rFonts w:hint="cs"/>
                <w:sz w:val="26"/>
                <w:rtl/>
              </w:rPr>
              <w:t>"</w:t>
            </w:r>
          </w:p>
        </w:tc>
      </w:tr>
    </w:tbl>
    <w:p w:rsidR="00E13C27" w:rsidRDefault="00E13C27" w:rsidP="008F55EE">
      <w:pPr>
        <w:pStyle w:val="HeadDivreiHesber"/>
        <w:rPr>
          <w:rtl/>
        </w:rPr>
      </w:pPr>
      <w:r>
        <w:rPr>
          <w:rFonts w:hint="cs"/>
          <w:rtl/>
        </w:rPr>
        <w:t>דברי הסבר</w:t>
      </w:r>
    </w:p>
    <w:p w:rsidR="003B6152" w:rsidRPr="002C552E" w:rsidRDefault="003B6152" w:rsidP="00D856DA">
      <w:pPr>
        <w:pStyle w:val="Hesber"/>
        <w:rPr>
          <w:rtl/>
        </w:rPr>
      </w:pPr>
      <w:r w:rsidRPr="002C552E">
        <w:rPr>
          <w:rFonts w:hint="cs"/>
          <w:rtl/>
        </w:rPr>
        <w:t xml:space="preserve">ביום 12 ביולי 2010 </w:t>
      </w:r>
      <w:r w:rsidR="000C65C5">
        <w:rPr>
          <w:rFonts w:hint="cs"/>
          <w:rtl/>
        </w:rPr>
        <w:t>אושר</w:t>
      </w:r>
      <w:r w:rsidRPr="002C552E">
        <w:rPr>
          <w:rFonts w:hint="cs"/>
          <w:rtl/>
        </w:rPr>
        <w:t xml:space="preserve"> </w:t>
      </w:r>
      <w:r w:rsidR="000C65C5">
        <w:rPr>
          <w:rFonts w:hint="cs"/>
          <w:rtl/>
        </w:rPr>
        <w:t>ב</w:t>
      </w:r>
      <w:r w:rsidRPr="002C552E">
        <w:rPr>
          <w:rFonts w:hint="cs"/>
          <w:rtl/>
        </w:rPr>
        <w:t>כנסת חוק הרשות לפיתוח הנגב (תיקון מס' 4),</w:t>
      </w:r>
      <w:r w:rsidR="000C65C5">
        <w:rPr>
          <w:rFonts w:hint="cs"/>
          <w:rtl/>
        </w:rPr>
        <w:t xml:space="preserve"> התש"ע</w:t>
      </w:r>
      <w:r w:rsidR="00D856DA">
        <w:rPr>
          <w:rFonts w:hint="eastAsia"/>
          <w:rtl/>
        </w:rPr>
        <w:t>–</w:t>
      </w:r>
      <w:r w:rsidR="000C65C5">
        <w:rPr>
          <w:rFonts w:hint="cs"/>
          <w:rtl/>
        </w:rPr>
        <w:t>2010</w:t>
      </w:r>
      <w:r w:rsidR="00D856DA">
        <w:rPr>
          <w:rFonts w:hint="cs"/>
          <w:rtl/>
        </w:rPr>
        <w:t xml:space="preserve"> (להלן </w:t>
      </w:r>
      <w:r w:rsidR="00D856DA">
        <w:rPr>
          <w:rFonts w:hint="eastAsia"/>
          <w:rtl/>
        </w:rPr>
        <w:t>–</w:t>
      </w:r>
      <w:r w:rsidR="00D856DA">
        <w:rPr>
          <w:rFonts w:hint="cs"/>
          <w:rtl/>
        </w:rPr>
        <w:t xml:space="preserve"> </w:t>
      </w:r>
      <w:r w:rsidR="00D856DA" w:rsidRPr="002C552E">
        <w:rPr>
          <w:rFonts w:hint="cs"/>
          <w:rtl/>
        </w:rPr>
        <w:t>חוק הרשות לפיתוח הנגב (תיקון מס' 4)</w:t>
      </w:r>
      <w:r w:rsidR="00D856DA">
        <w:rPr>
          <w:rFonts w:hint="cs"/>
          <w:rtl/>
        </w:rPr>
        <w:t>)</w:t>
      </w:r>
      <w:r w:rsidR="000C65C5">
        <w:rPr>
          <w:rFonts w:hint="cs"/>
          <w:rtl/>
        </w:rPr>
        <w:t>,</w:t>
      </w:r>
      <w:r w:rsidRPr="002C552E">
        <w:rPr>
          <w:rFonts w:hint="cs"/>
          <w:rtl/>
        </w:rPr>
        <w:t xml:space="preserve"> שנועד, בין היתר, לקבוע הוראות מעבר בנוגע למיזמים חקלאיים-תיירותיים </w:t>
      </w:r>
      <w:r w:rsidR="008F55EE">
        <w:rPr>
          <w:rFonts w:hint="cs"/>
          <w:rtl/>
        </w:rPr>
        <w:t>משולבים בנגב. מכוח התיקון האמור</w:t>
      </w:r>
      <w:r w:rsidRPr="002C552E">
        <w:rPr>
          <w:rFonts w:hint="cs"/>
          <w:rtl/>
        </w:rPr>
        <w:t xml:space="preserve"> הוקמה ועדה בין-משרדית שבחנה בקשות שהוגשו לה בנוגע למיזמים משולבים קיימים כאמור.</w:t>
      </w:r>
    </w:p>
    <w:p w:rsidR="003B6152" w:rsidRPr="002C552E" w:rsidRDefault="003B6152" w:rsidP="00D856DA">
      <w:pPr>
        <w:pStyle w:val="Hesber"/>
        <w:rPr>
          <w:rtl/>
        </w:rPr>
      </w:pPr>
      <w:r w:rsidRPr="002C552E">
        <w:rPr>
          <w:rFonts w:hint="cs"/>
          <w:rtl/>
        </w:rPr>
        <w:t xml:space="preserve">במהלך דיוני הוועדה התעוררו ספקות בנוגע לפרשנות המונח "היתכנות תכנונית", דבר שהביא לעיכוב בעבודת הוועדה ולכך שעד עתה לא </w:t>
      </w:r>
      <w:r w:rsidR="000C65C5">
        <w:rPr>
          <w:rFonts w:hint="cs"/>
          <w:rtl/>
        </w:rPr>
        <w:t>ה</w:t>
      </w:r>
      <w:r w:rsidRPr="002C552E">
        <w:rPr>
          <w:rFonts w:hint="cs"/>
          <w:rtl/>
        </w:rPr>
        <w:t xml:space="preserve">תקיים דיון בוועדה בחלק ניכר מהמיזמים שלגביהם הוגשו בקשות לפי התיקון. לפיכך, מוצע לקבוע </w:t>
      </w:r>
      <w:r w:rsidR="00D856DA">
        <w:rPr>
          <w:rFonts w:hint="cs"/>
          <w:rtl/>
        </w:rPr>
        <w:t>קריטריונים בהתקיימם יראו מיזם כמיזם שנתקיימה בו</w:t>
      </w:r>
      <w:r w:rsidRPr="002C552E">
        <w:rPr>
          <w:rFonts w:hint="cs"/>
          <w:rtl/>
        </w:rPr>
        <w:t xml:space="preserve"> "היתכנות תכנונית", על מנת להסיר ספק ולאפשר </w:t>
      </w:r>
      <w:r w:rsidR="00D856DA">
        <w:rPr>
          <w:rFonts w:hint="cs"/>
          <w:rtl/>
        </w:rPr>
        <w:t xml:space="preserve">את </w:t>
      </w:r>
      <w:r w:rsidRPr="002C552E">
        <w:rPr>
          <w:rFonts w:hint="cs"/>
          <w:rtl/>
        </w:rPr>
        <w:t xml:space="preserve">יישומו של החוק. </w:t>
      </w:r>
    </w:p>
    <w:p w:rsidR="003B6152" w:rsidRPr="002C552E" w:rsidRDefault="002366A8" w:rsidP="00D856DA">
      <w:pPr>
        <w:pStyle w:val="Hesber"/>
        <w:rPr>
          <w:rtl/>
        </w:rPr>
      </w:pPr>
      <w:r>
        <w:rPr>
          <w:rFonts w:hint="cs"/>
          <w:rtl/>
        </w:rPr>
        <w:t>כמו כן</w:t>
      </w:r>
      <w:r w:rsidR="00D856DA">
        <w:rPr>
          <w:rFonts w:hint="cs"/>
          <w:rtl/>
        </w:rPr>
        <w:t>, נוכח הי</w:t>
      </w:r>
      <w:r w:rsidR="003B6152" w:rsidRPr="002C552E">
        <w:rPr>
          <w:rFonts w:hint="cs"/>
          <w:rtl/>
        </w:rPr>
        <w:t>משכות ההליכים בוועדה הבין-משרדית עד כה ו</w:t>
      </w:r>
      <w:r w:rsidR="000C65C5">
        <w:rPr>
          <w:rFonts w:hint="cs"/>
          <w:rtl/>
        </w:rPr>
        <w:t xml:space="preserve">בשל </w:t>
      </w:r>
      <w:r w:rsidR="003B6152" w:rsidRPr="002C552E">
        <w:rPr>
          <w:rFonts w:hint="cs"/>
          <w:rtl/>
        </w:rPr>
        <w:t xml:space="preserve">מורכבות ההליכים התכנוניים, מוצע להאריך את התקופה להשלמת תכנונו של כל מיזם עד חלוף עשר שנים מיום </w:t>
      </w:r>
      <w:r w:rsidR="002C56A4">
        <w:rPr>
          <w:rFonts w:hint="cs"/>
          <w:rtl/>
        </w:rPr>
        <w:t xml:space="preserve">שניתן </w:t>
      </w:r>
      <w:r w:rsidR="003B6152" w:rsidRPr="002C552E">
        <w:rPr>
          <w:rFonts w:hint="cs"/>
          <w:rtl/>
        </w:rPr>
        <w:t>אישור על ידי השר</w:t>
      </w:r>
      <w:r w:rsidR="000C65C5">
        <w:rPr>
          <w:rFonts w:hint="cs"/>
          <w:rtl/>
        </w:rPr>
        <w:t xml:space="preserve"> לפיתוח הנגב והגליל</w:t>
      </w:r>
      <w:r w:rsidR="00054D6F">
        <w:rPr>
          <w:rFonts w:hint="cs"/>
          <w:rtl/>
        </w:rPr>
        <w:t xml:space="preserve"> (להלן </w:t>
      </w:r>
      <w:r w:rsidR="00054D6F">
        <w:rPr>
          <w:rtl/>
        </w:rPr>
        <w:t>–</w:t>
      </w:r>
      <w:r w:rsidR="00054D6F">
        <w:rPr>
          <w:rFonts w:hint="cs"/>
          <w:rtl/>
        </w:rPr>
        <w:t xml:space="preserve"> השר)</w:t>
      </w:r>
      <w:r w:rsidR="002C56A4">
        <w:rPr>
          <w:rFonts w:hint="cs"/>
          <w:rtl/>
        </w:rPr>
        <w:t xml:space="preserve"> לפי סעיף 5(ב) לחוק הרשות לפיתוח הנגב (תיקון מס' 4)</w:t>
      </w:r>
      <w:r w:rsidR="00D856DA">
        <w:rPr>
          <w:rFonts w:hint="cs"/>
          <w:rtl/>
        </w:rPr>
        <w:t>,</w:t>
      </w:r>
      <w:r w:rsidR="003B6152" w:rsidRPr="002C552E">
        <w:rPr>
          <w:rFonts w:hint="cs"/>
          <w:rtl/>
        </w:rPr>
        <w:t xml:space="preserve"> או עד חלוף 15 שנים מיום התחילה</w:t>
      </w:r>
      <w:r w:rsidR="000C65C5">
        <w:rPr>
          <w:rFonts w:hint="cs"/>
          <w:rtl/>
        </w:rPr>
        <w:t xml:space="preserve"> של התיקון האמור</w:t>
      </w:r>
      <w:r w:rsidR="003B6152" w:rsidRPr="002C552E">
        <w:rPr>
          <w:rFonts w:hint="cs"/>
          <w:rtl/>
        </w:rPr>
        <w:t xml:space="preserve"> (12.7.2010), לפי המאוחר.</w:t>
      </w:r>
    </w:p>
    <w:p w:rsidR="00D856DA" w:rsidRDefault="002366A8" w:rsidP="002366A8">
      <w:pPr>
        <w:pStyle w:val="Hesber"/>
        <w:rPr>
          <w:rtl/>
        </w:rPr>
      </w:pPr>
      <w:r>
        <w:rPr>
          <w:rFonts w:hint="cs"/>
          <w:rtl/>
        </w:rPr>
        <w:t>נוסף על כך</w:t>
      </w:r>
      <w:r w:rsidR="00895512">
        <w:rPr>
          <w:rFonts w:hint="cs"/>
          <w:rtl/>
        </w:rPr>
        <w:t>,</w:t>
      </w:r>
      <w:r w:rsidR="003B6152" w:rsidRPr="002C552E">
        <w:rPr>
          <w:rFonts w:hint="cs"/>
          <w:rtl/>
        </w:rPr>
        <w:t xml:space="preserve"> מוצע לקבוע כי מי שניהל מיזם בנגב יהיה רשאי להגיש לבית המשפט לעניינים מינהליים עתירה מינהלית נגד </w:t>
      </w:r>
      <w:r w:rsidR="009A4E98">
        <w:rPr>
          <w:rFonts w:hint="cs"/>
          <w:rtl/>
        </w:rPr>
        <w:t>המלצת</w:t>
      </w:r>
      <w:r w:rsidR="003B6152" w:rsidRPr="002C552E">
        <w:rPr>
          <w:rFonts w:hint="cs"/>
          <w:rtl/>
        </w:rPr>
        <w:t xml:space="preserve"> הוועדה הבין-משרדית שלא </w:t>
      </w:r>
      <w:r w:rsidR="009A4E98">
        <w:rPr>
          <w:rFonts w:hint="cs"/>
          <w:rtl/>
        </w:rPr>
        <w:t xml:space="preserve">להקצות או להקצות באופן חלקי מקרקעין לצורך </w:t>
      </w:r>
      <w:r w:rsidR="006008A1">
        <w:rPr>
          <w:rFonts w:hint="cs"/>
          <w:rtl/>
        </w:rPr>
        <w:t>פיתוח ו</w:t>
      </w:r>
      <w:r w:rsidR="009A4E98">
        <w:rPr>
          <w:rFonts w:hint="cs"/>
          <w:rtl/>
        </w:rPr>
        <w:t>ניהול המיזם כמיזם חקלאי-תיירותי משולב</w:t>
      </w:r>
      <w:r w:rsidR="003B6152" w:rsidRPr="002C552E">
        <w:rPr>
          <w:rFonts w:hint="cs"/>
          <w:rtl/>
        </w:rPr>
        <w:t xml:space="preserve">. תיקון זה </w:t>
      </w:r>
      <w:r w:rsidR="00054D6F">
        <w:rPr>
          <w:rFonts w:hint="cs"/>
          <w:rtl/>
        </w:rPr>
        <w:t>מוצע</w:t>
      </w:r>
      <w:r w:rsidR="003B6152" w:rsidRPr="002C552E">
        <w:rPr>
          <w:rFonts w:hint="cs"/>
          <w:rtl/>
        </w:rPr>
        <w:t xml:space="preserve"> נוכח המורכבות העובדתית המיוחדת של בחינת מיזמים קיימים, אשר מטבעה אינה מתאימה לבירור </w:t>
      </w:r>
      <w:r w:rsidR="00895512">
        <w:rPr>
          <w:rFonts w:hint="cs"/>
          <w:rtl/>
        </w:rPr>
        <w:t>בבית המשפט העליון בשבתו</w:t>
      </w:r>
      <w:r w:rsidR="003B6152" w:rsidRPr="002C552E">
        <w:rPr>
          <w:rFonts w:hint="cs"/>
          <w:rtl/>
        </w:rPr>
        <w:t xml:space="preserve"> </w:t>
      </w:r>
      <w:r w:rsidR="00895512">
        <w:rPr>
          <w:rFonts w:hint="cs"/>
          <w:rtl/>
        </w:rPr>
        <w:t>כ</w:t>
      </w:r>
      <w:r w:rsidR="003B6152" w:rsidRPr="002C552E">
        <w:rPr>
          <w:rFonts w:hint="cs"/>
          <w:rtl/>
        </w:rPr>
        <w:t xml:space="preserve">בג"ץ. עתירה מינהלית כאמור תוגש נגד המלצת הוועדה </w:t>
      </w:r>
      <w:r w:rsidR="00054D6F">
        <w:rPr>
          <w:rFonts w:hint="cs"/>
          <w:rtl/>
        </w:rPr>
        <w:t>לשר</w:t>
      </w:r>
      <w:r w:rsidR="009A4E98">
        <w:rPr>
          <w:rFonts w:hint="cs"/>
          <w:rtl/>
        </w:rPr>
        <w:t xml:space="preserve"> או לרשות מקרקעי ישראל, באישור השר,</w:t>
      </w:r>
      <w:r w:rsidR="00054D6F">
        <w:rPr>
          <w:rFonts w:hint="cs"/>
          <w:rtl/>
        </w:rPr>
        <w:t xml:space="preserve"> </w:t>
      </w:r>
      <w:r w:rsidR="003B6152" w:rsidRPr="002C552E">
        <w:rPr>
          <w:rFonts w:hint="cs"/>
          <w:rtl/>
        </w:rPr>
        <w:t>ולא נגד החלטת השר</w:t>
      </w:r>
      <w:r w:rsidR="00054D6F">
        <w:rPr>
          <w:rFonts w:hint="cs"/>
          <w:rtl/>
        </w:rPr>
        <w:t xml:space="preserve"> עצמ</w:t>
      </w:r>
      <w:r w:rsidR="00B2568C">
        <w:rPr>
          <w:rFonts w:hint="cs"/>
          <w:rtl/>
        </w:rPr>
        <w:t>ה</w:t>
      </w:r>
      <w:r w:rsidR="003B6152" w:rsidRPr="002C552E">
        <w:rPr>
          <w:rFonts w:hint="cs"/>
          <w:rtl/>
        </w:rPr>
        <w:t xml:space="preserve">. </w:t>
      </w:r>
    </w:p>
    <w:p w:rsidR="003B6152" w:rsidRPr="002C552E" w:rsidRDefault="00054D6F" w:rsidP="008F55EE">
      <w:pPr>
        <w:pStyle w:val="Hesber"/>
        <w:rPr>
          <w:rtl/>
        </w:rPr>
      </w:pPr>
      <w:r>
        <w:rPr>
          <w:rFonts w:hint="cs"/>
          <w:rtl/>
        </w:rPr>
        <w:t xml:space="preserve">כמו </w:t>
      </w:r>
      <w:r w:rsidR="003B6152" w:rsidRPr="002C552E">
        <w:rPr>
          <w:rFonts w:hint="cs"/>
          <w:rtl/>
        </w:rPr>
        <w:t>כן</w:t>
      </w:r>
      <w:r>
        <w:rPr>
          <w:rFonts w:hint="cs"/>
          <w:rtl/>
        </w:rPr>
        <w:t>,</w:t>
      </w:r>
      <w:r w:rsidR="003B6152" w:rsidRPr="002C552E">
        <w:rPr>
          <w:rFonts w:hint="cs"/>
          <w:rtl/>
        </w:rPr>
        <w:t xml:space="preserve"> מוצע </w:t>
      </w:r>
      <w:r>
        <w:rPr>
          <w:rFonts w:hint="cs"/>
          <w:rtl/>
        </w:rPr>
        <w:t>לשנות את הרכב</w:t>
      </w:r>
      <w:r w:rsidR="003B6152" w:rsidRPr="002C552E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3B6152" w:rsidRPr="002C552E">
        <w:rPr>
          <w:rFonts w:hint="cs"/>
          <w:rtl/>
        </w:rPr>
        <w:t xml:space="preserve">וועדה הבין-משרדית </w:t>
      </w:r>
      <w:r w:rsidR="008F55EE">
        <w:rPr>
          <w:rFonts w:hint="cs"/>
          <w:rtl/>
        </w:rPr>
        <w:t>ולכלול</w:t>
      </w:r>
      <w:r>
        <w:rPr>
          <w:rFonts w:hint="cs"/>
          <w:rtl/>
        </w:rPr>
        <w:t xml:space="preserve"> בה </w:t>
      </w:r>
      <w:r w:rsidR="00D70DAA">
        <w:rPr>
          <w:rFonts w:hint="cs"/>
          <w:rtl/>
        </w:rPr>
        <w:t xml:space="preserve">גם </w:t>
      </w:r>
      <w:r w:rsidR="003B6152" w:rsidRPr="002C552E">
        <w:rPr>
          <w:rFonts w:hint="cs"/>
          <w:rtl/>
        </w:rPr>
        <w:t xml:space="preserve">נציגים של משרד ראש הממשלה ושל </w:t>
      </w:r>
      <w:r w:rsidR="00D70DAA">
        <w:rPr>
          <w:rFonts w:hint="cs"/>
          <w:rtl/>
        </w:rPr>
        <w:t>רשות מקרקעי ישראל</w:t>
      </w:r>
      <w:r w:rsidR="003B6152" w:rsidRPr="002C552E">
        <w:rPr>
          <w:rFonts w:hint="cs"/>
          <w:rtl/>
        </w:rPr>
        <w:t xml:space="preserve">, </w:t>
      </w:r>
      <w:r w:rsidR="008F55EE">
        <w:rPr>
          <w:rFonts w:hint="cs"/>
          <w:rtl/>
        </w:rPr>
        <w:t>שהם</w:t>
      </w:r>
      <w:r w:rsidR="003B6152" w:rsidRPr="002C552E">
        <w:rPr>
          <w:rFonts w:hint="cs"/>
          <w:rtl/>
        </w:rPr>
        <w:t xml:space="preserve"> </w:t>
      </w:r>
      <w:r w:rsidR="00D70DAA">
        <w:rPr>
          <w:rFonts w:hint="cs"/>
          <w:rtl/>
        </w:rPr>
        <w:t>גופים</w:t>
      </w:r>
      <w:r w:rsidR="003B6152" w:rsidRPr="002C552E">
        <w:rPr>
          <w:rFonts w:hint="cs"/>
          <w:rtl/>
        </w:rPr>
        <w:t xml:space="preserve"> הנוגעים בדבר. </w:t>
      </w:r>
    </w:p>
    <w:p w:rsidR="008F55EE" w:rsidRDefault="008F55EE" w:rsidP="002366A8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</w:p>
    <w:p w:rsidR="008F55EE" w:rsidRDefault="008F55EE" w:rsidP="002366A8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</w:p>
    <w:p w:rsidR="002366A8" w:rsidRDefault="002366A8" w:rsidP="002366A8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---------------------------------</w:t>
      </w:r>
    </w:p>
    <w:p w:rsidR="002366A8" w:rsidRDefault="002366A8" w:rsidP="002366A8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הוגשה ליו"ר הכנסת והסגנים</w:t>
      </w:r>
    </w:p>
    <w:p w:rsidR="002366A8" w:rsidRDefault="002366A8" w:rsidP="002366A8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והונחה על שולחן הכנסת ביום</w:t>
      </w:r>
    </w:p>
    <w:p w:rsidR="002366A8" w:rsidRDefault="002366A8" w:rsidP="002366A8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י"ז באדר ב' התשע"ד – 19.3.14</w:t>
      </w:r>
    </w:p>
    <w:p w:rsidR="00E13C27" w:rsidRPr="002C552E" w:rsidRDefault="00E13C27" w:rsidP="002C552E">
      <w:pPr>
        <w:pStyle w:val="Hesber"/>
        <w:rPr>
          <w:rtl/>
        </w:rPr>
      </w:pPr>
    </w:p>
    <w:sectPr w:rsidR="00E13C27" w:rsidRPr="002C552E" w:rsidSect="008F55EE">
      <w:footerReference w:type="even" r:id="rId12"/>
      <w:footerReference w:type="default" r:id="rId13"/>
      <w:pgSz w:w="11907" w:h="16840" w:code="9"/>
      <w:pgMar w:top="993" w:right="1134" w:bottom="851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35" w:rsidRDefault="00B23235">
      <w:r>
        <w:separator/>
      </w:r>
    </w:p>
  </w:endnote>
  <w:endnote w:type="continuationSeparator" w:id="0">
    <w:p w:rsidR="00B23235" w:rsidRDefault="00B2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23" w:rsidRDefault="001A0623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:rsidR="001A0623" w:rsidRDefault="001A06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23" w:rsidRDefault="001A0623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1B2873">
      <w:rPr>
        <w:rStyle w:val="ab"/>
        <w:noProof/>
        <w:rtl/>
      </w:rPr>
      <w:t>3</w:t>
    </w:r>
    <w:r>
      <w:rPr>
        <w:rStyle w:val="ab"/>
        <w:rtl/>
      </w:rPr>
      <w:fldChar w:fldCharType="end"/>
    </w:r>
  </w:p>
  <w:p w:rsidR="001A0623" w:rsidRDefault="001A06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35" w:rsidRDefault="00B23235">
      <w:r>
        <w:separator/>
      </w:r>
    </w:p>
  </w:footnote>
  <w:footnote w:type="continuationSeparator" w:id="0">
    <w:p w:rsidR="00B23235" w:rsidRDefault="00B23235">
      <w:r>
        <w:continuationSeparator/>
      </w:r>
    </w:p>
  </w:footnote>
  <w:footnote w:type="continuationNotice" w:id="1">
    <w:p w:rsidR="00B23235" w:rsidRDefault="00B23235"/>
  </w:footnote>
  <w:footnote w:id="2">
    <w:p w:rsidR="001B4985" w:rsidRDefault="001B4985" w:rsidP="001B4985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התשנ"ב, עמ' 26.</w:t>
      </w:r>
    </w:p>
  </w:footnote>
  <w:footnote w:id="3">
    <w:p w:rsidR="001853C3" w:rsidRDefault="001853C3" w:rsidP="001853C3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התש"ע, עמ' 591.</w:t>
      </w:r>
    </w:p>
  </w:footnote>
  <w:footnote w:id="4">
    <w:p w:rsidR="008F55EE" w:rsidRDefault="008F55EE" w:rsidP="008F55EE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התש"ס, עמ' 190.</w:t>
      </w:r>
    </w:p>
  </w:footnote>
  <w:footnote w:id="5">
    <w:p w:rsidR="00786E05" w:rsidRDefault="00786E05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התש"ע, עמ' 591.</w:t>
      </w:r>
    </w:p>
  </w:footnote>
  <w:footnote w:id="6">
    <w:p w:rsidR="00785659" w:rsidRDefault="00785659" w:rsidP="00785659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התשנ"ב, עמ' 26.</w:t>
      </w:r>
    </w:p>
  </w:footnote>
  <w:footnote w:id="7">
    <w:p w:rsidR="001853C3" w:rsidRDefault="001853C3" w:rsidP="001853C3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התש"ע, עמ' 591.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DD1360"/>
    <w:multiLevelType w:val="hybridMultilevel"/>
    <w:tmpl w:val="D76250CA"/>
    <w:lvl w:ilvl="0" w:tplc="2396BA84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B01E8"/>
    <w:multiLevelType w:val="hybridMultilevel"/>
    <w:tmpl w:val="D76250CA"/>
    <w:lvl w:ilvl="0" w:tplc="2396BA84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61EA6"/>
    <w:multiLevelType w:val="hybridMultilevel"/>
    <w:tmpl w:val="D76250CA"/>
    <w:lvl w:ilvl="0" w:tplc="2396BA84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A4119"/>
    <w:multiLevelType w:val="hybridMultilevel"/>
    <w:tmpl w:val="D76250CA"/>
    <w:lvl w:ilvl="0" w:tplc="2396BA84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2E71F8"/>
    <w:multiLevelType w:val="hybridMultilevel"/>
    <w:tmpl w:val="D76250CA"/>
    <w:lvl w:ilvl="0" w:tplc="2396BA84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13"/>
  </w:num>
  <w:num w:numId="14">
    <w:abstractNumId w:val="18"/>
  </w:num>
  <w:num w:numId="15">
    <w:abstractNumId w:val="14"/>
  </w:num>
  <w:num w:numId="16">
    <w:abstractNumId w:val="15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548176lsCopyOriginal.docx"/>
    <w:docVar w:name="StartMode" w:val="2"/>
  </w:docVars>
  <w:rsids>
    <w:rsidRoot w:val="00DB7060"/>
    <w:rsid w:val="00015B27"/>
    <w:rsid w:val="00054D6F"/>
    <w:rsid w:val="00087898"/>
    <w:rsid w:val="00092ABE"/>
    <w:rsid w:val="000A542E"/>
    <w:rsid w:val="000C65C5"/>
    <w:rsid w:val="00105A42"/>
    <w:rsid w:val="001207F8"/>
    <w:rsid w:val="00121924"/>
    <w:rsid w:val="001279A8"/>
    <w:rsid w:val="001404BF"/>
    <w:rsid w:val="0014195F"/>
    <w:rsid w:val="00152609"/>
    <w:rsid w:val="00153E1B"/>
    <w:rsid w:val="00181510"/>
    <w:rsid w:val="001853C3"/>
    <w:rsid w:val="001A0623"/>
    <w:rsid w:val="001B2873"/>
    <w:rsid w:val="001B4985"/>
    <w:rsid w:val="001C23B0"/>
    <w:rsid w:val="001E3508"/>
    <w:rsid w:val="001F70C1"/>
    <w:rsid w:val="00201CC2"/>
    <w:rsid w:val="00203A7F"/>
    <w:rsid w:val="002200A1"/>
    <w:rsid w:val="002362BF"/>
    <w:rsid w:val="002366A8"/>
    <w:rsid w:val="00241B97"/>
    <w:rsid w:val="00243F91"/>
    <w:rsid w:val="00254605"/>
    <w:rsid w:val="002728B4"/>
    <w:rsid w:val="00291968"/>
    <w:rsid w:val="00292712"/>
    <w:rsid w:val="002C2E29"/>
    <w:rsid w:val="002C552E"/>
    <w:rsid w:val="002C56A4"/>
    <w:rsid w:val="002F093B"/>
    <w:rsid w:val="002F5F76"/>
    <w:rsid w:val="00317FB9"/>
    <w:rsid w:val="003232A2"/>
    <w:rsid w:val="00363F83"/>
    <w:rsid w:val="003710F6"/>
    <w:rsid w:val="003829B0"/>
    <w:rsid w:val="00386E88"/>
    <w:rsid w:val="00390A67"/>
    <w:rsid w:val="003B6152"/>
    <w:rsid w:val="003C4BAB"/>
    <w:rsid w:val="003D74A0"/>
    <w:rsid w:val="003F38BC"/>
    <w:rsid w:val="003F5298"/>
    <w:rsid w:val="004033D8"/>
    <w:rsid w:val="004115EB"/>
    <w:rsid w:val="004D3876"/>
    <w:rsid w:val="004E021C"/>
    <w:rsid w:val="004E4552"/>
    <w:rsid w:val="0050368C"/>
    <w:rsid w:val="00523E78"/>
    <w:rsid w:val="00534DE5"/>
    <w:rsid w:val="00553C9D"/>
    <w:rsid w:val="00594637"/>
    <w:rsid w:val="005B064E"/>
    <w:rsid w:val="005D35C1"/>
    <w:rsid w:val="005D51AE"/>
    <w:rsid w:val="006008A1"/>
    <w:rsid w:val="00611E00"/>
    <w:rsid w:val="00644940"/>
    <w:rsid w:val="0065307C"/>
    <w:rsid w:val="00660397"/>
    <w:rsid w:val="006818A9"/>
    <w:rsid w:val="006C1D0D"/>
    <w:rsid w:val="00700E6F"/>
    <w:rsid w:val="0070601E"/>
    <w:rsid w:val="00765F66"/>
    <w:rsid w:val="00775AA4"/>
    <w:rsid w:val="00785659"/>
    <w:rsid w:val="00786E05"/>
    <w:rsid w:val="00787CB1"/>
    <w:rsid w:val="007A4C7A"/>
    <w:rsid w:val="007D5A12"/>
    <w:rsid w:val="007E59F9"/>
    <w:rsid w:val="00806673"/>
    <w:rsid w:val="00810BCD"/>
    <w:rsid w:val="00812C98"/>
    <w:rsid w:val="00814D92"/>
    <w:rsid w:val="00826113"/>
    <w:rsid w:val="00862739"/>
    <w:rsid w:val="00892135"/>
    <w:rsid w:val="00895449"/>
    <w:rsid w:val="00895512"/>
    <w:rsid w:val="00897879"/>
    <w:rsid w:val="008B58FA"/>
    <w:rsid w:val="008C2208"/>
    <w:rsid w:val="008C2DDC"/>
    <w:rsid w:val="008D37B8"/>
    <w:rsid w:val="008F0D63"/>
    <w:rsid w:val="008F2C35"/>
    <w:rsid w:val="008F55EE"/>
    <w:rsid w:val="00904274"/>
    <w:rsid w:val="0091204F"/>
    <w:rsid w:val="0091652C"/>
    <w:rsid w:val="009203DB"/>
    <w:rsid w:val="00943386"/>
    <w:rsid w:val="00957589"/>
    <w:rsid w:val="00964E96"/>
    <w:rsid w:val="00982412"/>
    <w:rsid w:val="00985FA3"/>
    <w:rsid w:val="009A4E98"/>
    <w:rsid w:val="009D5EC4"/>
    <w:rsid w:val="00A26BD6"/>
    <w:rsid w:val="00A72C45"/>
    <w:rsid w:val="00A82CB7"/>
    <w:rsid w:val="00AC36F7"/>
    <w:rsid w:val="00B04770"/>
    <w:rsid w:val="00B23235"/>
    <w:rsid w:val="00B2568C"/>
    <w:rsid w:val="00B35784"/>
    <w:rsid w:val="00B60A4B"/>
    <w:rsid w:val="00BC45FB"/>
    <w:rsid w:val="00BC6FF9"/>
    <w:rsid w:val="00BE00B0"/>
    <w:rsid w:val="00BF68CB"/>
    <w:rsid w:val="00C102A2"/>
    <w:rsid w:val="00C61CDB"/>
    <w:rsid w:val="00C9176A"/>
    <w:rsid w:val="00CA2F5F"/>
    <w:rsid w:val="00CA4D86"/>
    <w:rsid w:val="00CC1BEC"/>
    <w:rsid w:val="00D36B19"/>
    <w:rsid w:val="00D66BC4"/>
    <w:rsid w:val="00D70DAA"/>
    <w:rsid w:val="00D856DA"/>
    <w:rsid w:val="00D867D7"/>
    <w:rsid w:val="00D917F9"/>
    <w:rsid w:val="00DA70B1"/>
    <w:rsid w:val="00DB7060"/>
    <w:rsid w:val="00DE3153"/>
    <w:rsid w:val="00DF5538"/>
    <w:rsid w:val="00E13C27"/>
    <w:rsid w:val="00E33BBD"/>
    <w:rsid w:val="00E442CD"/>
    <w:rsid w:val="00E45103"/>
    <w:rsid w:val="00E665B9"/>
    <w:rsid w:val="00EA01E6"/>
    <w:rsid w:val="00EA758F"/>
    <w:rsid w:val="00ED4A6F"/>
    <w:rsid w:val="00EE1C7C"/>
    <w:rsid w:val="00EF3A3A"/>
    <w:rsid w:val="00FB7BE2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EE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8F55EE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F55EE"/>
    <w:rPr>
      <w:sz w:val="36"/>
      <w:szCs w:val="52"/>
    </w:rPr>
  </w:style>
  <w:style w:type="paragraph" w:customStyle="1" w:styleId="Cover3-Haknesset">
    <w:name w:val="Cover 3-Haknesset"/>
    <w:basedOn w:val="Cover1-Reshumot"/>
    <w:rsid w:val="008F55EE"/>
    <w:rPr>
      <w:b/>
      <w:bCs/>
      <w:spacing w:val="60"/>
    </w:rPr>
  </w:style>
  <w:style w:type="paragraph" w:customStyle="1" w:styleId="Cover4-Date">
    <w:name w:val="Cover 4-Date"/>
    <w:basedOn w:val="a"/>
    <w:rsid w:val="008F55EE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8F55EE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8F55EE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F55EE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8F55EE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8F55EE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F55EE"/>
  </w:style>
  <w:style w:type="paragraph" w:customStyle="1" w:styleId="TableBlock">
    <w:name w:val="Table Block"/>
    <w:basedOn w:val="TableText"/>
    <w:rsid w:val="008F55EE"/>
    <w:pPr>
      <w:ind w:right="0"/>
      <w:jc w:val="both"/>
    </w:pPr>
  </w:style>
  <w:style w:type="paragraph" w:customStyle="1" w:styleId="TableHead">
    <w:name w:val="Table Head"/>
    <w:basedOn w:val="TableText"/>
    <w:rsid w:val="008F55EE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8F55EE"/>
  </w:style>
  <w:style w:type="paragraph" w:customStyle="1" w:styleId="Hesber">
    <w:name w:val="Hesber"/>
    <w:basedOn w:val="a"/>
    <w:rsid w:val="008F55EE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rsid w:val="008F55EE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aliases w:val="Footnote Reference"/>
    <w:basedOn w:val="a0"/>
    <w:rsid w:val="008F55EE"/>
    <w:rPr>
      <w:vertAlign w:val="superscript"/>
    </w:rPr>
  </w:style>
  <w:style w:type="paragraph" w:customStyle="1" w:styleId="HesberHeading">
    <w:name w:val="Hesber Heading"/>
    <w:basedOn w:val="Hesber"/>
    <w:rsid w:val="008F55EE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8F55EE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8F55EE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8F55EE"/>
    <w:rPr>
      <w:vertAlign w:val="superscript"/>
    </w:rPr>
  </w:style>
  <w:style w:type="paragraph" w:customStyle="1" w:styleId="TableBlockOutdent">
    <w:name w:val="Table BlockOutdent"/>
    <w:basedOn w:val="TableBlock"/>
    <w:rsid w:val="008F55EE"/>
    <w:pPr>
      <w:ind w:left="624" w:hanging="624"/>
    </w:pPr>
  </w:style>
  <w:style w:type="paragraph" w:styleId="a8">
    <w:name w:val="header"/>
    <w:basedOn w:val="a"/>
    <w:rsid w:val="008F55E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8F55EE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8F55EE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8F55EE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8F55EE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List Paragraph"/>
    <w:basedOn w:val="a"/>
    <w:uiPriority w:val="34"/>
    <w:qFormat/>
    <w:rsid w:val="003B6152"/>
    <w:pPr>
      <w:ind w:left="720"/>
      <w:contextualSpacing/>
    </w:pPr>
  </w:style>
  <w:style w:type="character" w:customStyle="1" w:styleId="a5">
    <w:name w:val="טקסט הערת שוליים תו"/>
    <w:link w:val="a4"/>
    <w:rsid w:val="00D66BC4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EE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8F55EE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F55EE"/>
    <w:rPr>
      <w:sz w:val="36"/>
      <w:szCs w:val="52"/>
    </w:rPr>
  </w:style>
  <w:style w:type="paragraph" w:customStyle="1" w:styleId="Cover3-Haknesset">
    <w:name w:val="Cover 3-Haknesset"/>
    <w:basedOn w:val="Cover1-Reshumot"/>
    <w:rsid w:val="008F55EE"/>
    <w:rPr>
      <w:b/>
      <w:bCs/>
      <w:spacing w:val="60"/>
    </w:rPr>
  </w:style>
  <w:style w:type="paragraph" w:customStyle="1" w:styleId="Cover4-Date">
    <w:name w:val="Cover 4-Date"/>
    <w:basedOn w:val="a"/>
    <w:rsid w:val="008F55EE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8F55EE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8F55EE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F55EE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8F55EE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8F55EE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F55EE"/>
  </w:style>
  <w:style w:type="paragraph" w:customStyle="1" w:styleId="TableBlock">
    <w:name w:val="Table Block"/>
    <w:basedOn w:val="TableText"/>
    <w:rsid w:val="008F55EE"/>
    <w:pPr>
      <w:ind w:right="0"/>
      <w:jc w:val="both"/>
    </w:pPr>
  </w:style>
  <w:style w:type="paragraph" w:customStyle="1" w:styleId="TableHead">
    <w:name w:val="Table Head"/>
    <w:basedOn w:val="TableText"/>
    <w:rsid w:val="008F55EE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8F55EE"/>
  </w:style>
  <w:style w:type="paragraph" w:customStyle="1" w:styleId="Hesber">
    <w:name w:val="Hesber"/>
    <w:basedOn w:val="a"/>
    <w:rsid w:val="008F55EE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rsid w:val="008F55EE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aliases w:val="Footnote Reference"/>
    <w:basedOn w:val="a0"/>
    <w:rsid w:val="008F55EE"/>
    <w:rPr>
      <w:vertAlign w:val="superscript"/>
    </w:rPr>
  </w:style>
  <w:style w:type="paragraph" w:customStyle="1" w:styleId="HesberHeading">
    <w:name w:val="Hesber Heading"/>
    <w:basedOn w:val="Hesber"/>
    <w:rsid w:val="008F55EE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8F55EE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8F55EE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8F55EE"/>
    <w:rPr>
      <w:vertAlign w:val="superscript"/>
    </w:rPr>
  </w:style>
  <w:style w:type="paragraph" w:customStyle="1" w:styleId="TableBlockOutdent">
    <w:name w:val="Table BlockOutdent"/>
    <w:basedOn w:val="TableBlock"/>
    <w:rsid w:val="008F55EE"/>
    <w:pPr>
      <w:ind w:left="624" w:hanging="624"/>
    </w:pPr>
  </w:style>
  <w:style w:type="paragraph" w:styleId="a8">
    <w:name w:val="header"/>
    <w:basedOn w:val="a"/>
    <w:rsid w:val="008F55E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8F55EE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8F55EE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8F55EE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8F55EE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List Paragraph"/>
    <w:basedOn w:val="a"/>
    <w:uiPriority w:val="34"/>
    <w:qFormat/>
    <w:rsid w:val="003B6152"/>
    <w:pPr>
      <w:ind w:left="720"/>
      <w:contextualSpacing/>
    </w:pPr>
  </w:style>
  <w:style w:type="character" w:customStyle="1" w:styleId="a5">
    <w:name w:val="טקסט הערת שוליים תו"/>
    <w:link w:val="a4"/>
    <w:rsid w:val="00D66BC4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E08BD4CF0EB9A4CBC18976C4557B0D7" ma:contentTypeVersion="0" ma:contentTypeDescription="צור מסמך חדש." ma:contentTypeScope="" ma:versionID="afab255bdd9a86a339c6a4fdcc3710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9e330b17b26747b49104fe0872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F25BDD-B21A-47AB-9F02-8BAF6C0CD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E22BEF-0301-408A-8111-FDA86B79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 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subject/>
  <dc:creator>יהודה שורש</dc:creator>
  <cp:keywords/>
  <dc:description/>
  <cp:lastModifiedBy>לילך יעיש</cp:lastModifiedBy>
  <cp:revision>2</cp:revision>
  <cp:lastPrinted>2014-03-19T07:55:00Z</cp:lastPrinted>
  <dcterms:created xsi:type="dcterms:W3CDTF">2014-03-19T07:56:00Z</dcterms:created>
  <dcterms:modified xsi:type="dcterms:W3CDTF">2014-03-19T07:56:00Z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0x0101001E08BD4CF0EB9A4CBC18976C4557B0D7</vt:lpwstr>
  </property>
</Properties>
</file>