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E93FCB" w:rsidRDefault="004033D8" w:rsidP="00E93FCB">
      <w:pPr>
        <w:pStyle w:val="HeadHatzaotHok"/>
        <w:jc w:val="right"/>
        <w:rPr>
          <w:b w:val="0"/>
          <w:bCs w:val="0"/>
          <w:szCs w:val="20"/>
        </w:rPr>
      </w:pPr>
      <w:r w:rsidRPr="00E93FCB">
        <w:rPr>
          <w:rFonts w:hint="cs"/>
          <w:b w:val="0"/>
          <w:bCs w:val="0"/>
          <w:szCs w:val="20"/>
          <w:rtl/>
        </w:rPr>
        <w:t xml:space="preserve">מספר פנימי: </w:t>
      </w:r>
      <w:bookmarkStart w:id="0" w:name="ItemID"/>
      <w:r w:rsidR="006500A2" w:rsidRPr="00E93FCB">
        <w:rPr>
          <w:b w:val="0"/>
          <w:bCs w:val="0"/>
          <w:szCs w:val="20"/>
          <w:rtl/>
        </w:rPr>
        <w:t>488037</w:t>
      </w:r>
      <w:bookmarkEnd w:id="0"/>
    </w:p>
    <w:p w:rsidR="00E13C27" w:rsidRPr="00DB7060" w:rsidRDefault="00E13C27" w:rsidP="00E13C27">
      <w:pPr>
        <w:pStyle w:val="HeadHatzaotHok"/>
        <w:rPr>
          <w:sz w:val="28"/>
          <w:szCs w:val="28"/>
          <w:rtl/>
        </w:rPr>
      </w:pPr>
      <w:r w:rsidRPr="00DB7060">
        <w:rPr>
          <w:rFonts w:hint="cs"/>
          <w:sz w:val="28"/>
          <w:szCs w:val="28"/>
          <w:rtl/>
        </w:rPr>
        <w:t xml:space="preserve">הכנסת </w:t>
      </w:r>
      <w:bookmarkStart w:id="1" w:name="KnessetNum"/>
      <w:r w:rsidR="006500A2" w:rsidRPr="006500A2">
        <w:rPr>
          <w:sz w:val="28"/>
          <w:szCs w:val="28"/>
          <w:rtl/>
        </w:rPr>
        <w:t>התשע-עשרה</w:t>
      </w:r>
      <w:bookmarkEnd w:id="1"/>
    </w:p>
    <w:p w:rsidR="00E13C27" w:rsidRDefault="00E13C27" w:rsidP="00E13C27">
      <w:pPr>
        <w:rPr>
          <w:rFonts w:cs="David"/>
          <w:sz w:val="26"/>
          <w:szCs w:val="26"/>
          <w:rtl/>
        </w:rPr>
      </w:pPr>
    </w:p>
    <w:p w:rsidR="00E13C27" w:rsidRDefault="00D137B8" w:rsidP="00D137B8">
      <w:pPr>
        <w:pStyle w:val="David"/>
        <w:ind w:left="2880" w:firstLine="663"/>
        <w:rPr>
          <w:b/>
          <w:bCs/>
          <w:rtl/>
        </w:rPr>
      </w:pPr>
      <w:bookmarkStart w:id="2" w:name="MKsSingleOrMulti"/>
      <w:r>
        <w:rPr>
          <w:b/>
          <w:bCs/>
          <w:rtl/>
        </w:rPr>
        <w:t>יוזמ</w:t>
      </w:r>
      <w:r>
        <w:rPr>
          <w:rFonts w:hint="cs"/>
          <w:b/>
          <w:bCs/>
          <w:rtl/>
        </w:rPr>
        <w:t>ים</w:t>
      </w:r>
      <w:r>
        <w:rPr>
          <w:b/>
          <w:bCs/>
          <w:rtl/>
        </w:rPr>
        <w:t>:</w:t>
      </w:r>
      <w:r w:rsidR="00C25C6B">
        <w:rPr>
          <w:rFonts w:hint="cs"/>
          <w:b/>
          <w:bCs/>
          <w:rtl/>
        </w:rPr>
        <w:tab/>
      </w:r>
      <w:r w:rsidR="006500A2" w:rsidRPr="00D137B8">
        <w:rPr>
          <w:b/>
          <w:bCs/>
          <w:rtl/>
        </w:rPr>
        <w:t>חבר</w:t>
      </w:r>
      <w:r>
        <w:rPr>
          <w:rFonts w:hint="cs"/>
          <w:b/>
          <w:bCs/>
          <w:rtl/>
        </w:rPr>
        <w:t>י</w:t>
      </w:r>
      <w:r w:rsidR="006500A2" w:rsidRPr="00D137B8">
        <w:rPr>
          <w:b/>
          <w:bCs/>
          <w:rtl/>
        </w:rPr>
        <w:t xml:space="preserve"> הכנסת</w:t>
      </w:r>
      <w:bookmarkStart w:id="3" w:name="MKs"/>
      <w:bookmarkEnd w:id="2"/>
      <w:r>
        <w:rPr>
          <w:rFonts w:hint="cs"/>
          <w:b/>
          <w:bCs/>
          <w:rtl/>
        </w:rPr>
        <w:tab/>
      </w:r>
      <w:r>
        <w:rPr>
          <w:rFonts w:hint="cs"/>
          <w:b/>
          <w:bCs/>
          <w:rtl/>
        </w:rPr>
        <w:tab/>
      </w:r>
      <w:r w:rsidR="006500A2" w:rsidRPr="00D137B8">
        <w:rPr>
          <w:b/>
          <w:bCs/>
          <w:rtl/>
        </w:rPr>
        <w:t>פנינה תמנו-שטה</w:t>
      </w:r>
      <w:bookmarkEnd w:id="3"/>
    </w:p>
    <w:p w:rsidR="00D137B8" w:rsidRPr="00D137B8" w:rsidRDefault="00C25C6B" w:rsidP="00D137B8">
      <w:pPr>
        <w:pStyle w:val="David"/>
        <w:ind w:left="2880" w:firstLine="663"/>
        <w:rPr>
          <w:b/>
          <w:bCs/>
          <w:rtl/>
        </w:rPr>
      </w:pPr>
      <w:r>
        <w:rPr>
          <w:rFonts w:hint="cs"/>
          <w:b/>
          <w:bCs/>
          <w:rtl/>
        </w:rPr>
        <w:tab/>
      </w:r>
      <w:r>
        <w:rPr>
          <w:rFonts w:hint="cs"/>
          <w:b/>
          <w:bCs/>
          <w:rtl/>
        </w:rPr>
        <w:tab/>
      </w:r>
      <w:r>
        <w:rPr>
          <w:rFonts w:hint="cs"/>
          <w:b/>
          <w:bCs/>
          <w:rtl/>
        </w:rPr>
        <w:tab/>
      </w:r>
      <w:r>
        <w:rPr>
          <w:rFonts w:hint="cs"/>
          <w:b/>
          <w:bCs/>
          <w:rtl/>
        </w:rPr>
        <w:tab/>
      </w:r>
      <w:r>
        <w:rPr>
          <w:rFonts w:hint="cs"/>
          <w:b/>
          <w:bCs/>
          <w:rtl/>
        </w:rPr>
        <w:tab/>
      </w:r>
      <w:r w:rsidR="00D137B8" w:rsidRPr="00D137B8">
        <w:rPr>
          <w:b/>
          <w:bCs/>
          <w:rtl/>
        </w:rPr>
        <w:t xml:space="preserve">אורית סטרוק </w:t>
      </w:r>
    </w:p>
    <w:p w:rsidR="00D137B8" w:rsidRPr="00D137B8" w:rsidRDefault="00D137B8" w:rsidP="00D137B8">
      <w:pPr>
        <w:pStyle w:val="David"/>
        <w:ind w:left="2880" w:firstLine="663"/>
        <w:rPr>
          <w:b/>
          <w:bCs/>
          <w:rtl/>
        </w:rPr>
      </w:pPr>
      <w:r w:rsidRPr="00D137B8">
        <w:rPr>
          <w:b/>
          <w:bCs/>
          <w:rtl/>
        </w:rPr>
        <w:t xml:space="preserve">  </w:t>
      </w:r>
      <w:r w:rsidR="00C25C6B">
        <w:rPr>
          <w:rFonts w:hint="cs"/>
          <w:b/>
          <w:bCs/>
          <w:rtl/>
        </w:rPr>
        <w:tab/>
      </w:r>
      <w:r w:rsidR="00C25C6B">
        <w:rPr>
          <w:rFonts w:hint="cs"/>
          <w:b/>
          <w:bCs/>
          <w:rtl/>
        </w:rPr>
        <w:tab/>
      </w:r>
      <w:r w:rsidR="00C25C6B">
        <w:rPr>
          <w:rFonts w:hint="cs"/>
          <w:b/>
          <w:bCs/>
          <w:rtl/>
        </w:rPr>
        <w:tab/>
      </w:r>
      <w:r w:rsidR="00C25C6B">
        <w:rPr>
          <w:rFonts w:hint="cs"/>
          <w:b/>
          <w:bCs/>
          <w:rtl/>
        </w:rPr>
        <w:tab/>
      </w:r>
      <w:r w:rsidRPr="00D137B8">
        <w:rPr>
          <w:b/>
          <w:bCs/>
          <w:rtl/>
        </w:rPr>
        <w:t xml:space="preserve">יואל רזבוזוב </w:t>
      </w:r>
    </w:p>
    <w:p w:rsidR="00E13C27" w:rsidRDefault="0014195F" w:rsidP="00B35784">
      <w:pPr>
        <w:ind w:firstLine="3543"/>
        <w:rPr>
          <w:rFonts w:cs="David"/>
          <w:sz w:val="26"/>
          <w:szCs w:val="26"/>
          <w:rtl/>
        </w:rPr>
      </w:pPr>
      <w:r>
        <w:rPr>
          <w:noProof/>
          <w:rtl/>
          <w:lang w:eastAsia="en-US"/>
        </w:rPr>
        <mc:AlternateContent>
          <mc:Choice Requires="wps">
            <w:drawing>
              <wp:anchor distT="0" distB="0" distL="114300" distR="114300" simplePos="0" relativeHeight="251658240" behindDoc="0" locked="0" layoutInCell="1" allowOverlap="1" wp14:anchorId="25EA197B" wp14:editId="5CE95B32">
                <wp:simplePos x="0" y="0"/>
                <wp:positionH relativeFrom="column">
                  <wp:posOffset>1270</wp:posOffset>
                </wp:positionH>
                <wp:positionV relativeFrom="paragraph">
                  <wp:posOffset>48895</wp:posOffset>
                </wp:positionV>
                <wp:extent cx="3869690" cy="15875"/>
                <wp:effectExtent l="0" t="38100" r="0" b="4127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9690" cy="15875"/>
                        </a:xfrm>
                        <a:custGeom>
                          <a:avLst/>
                          <a:gdLst>
                            <a:gd name="T0" fmla="*/ 0 w 6094"/>
                            <a:gd name="T1" fmla="*/ 25 h 25"/>
                            <a:gd name="T2" fmla="*/ 6094 w 6094"/>
                            <a:gd name="T3" fmla="*/ 0 h 25"/>
                          </a:gdLst>
                          <a:ahLst/>
                          <a:cxnLst>
                            <a:cxn ang="0">
                              <a:pos x="T0" y="T1"/>
                            </a:cxn>
                            <a:cxn ang="0">
                              <a:pos x="T2" y="T3"/>
                            </a:cxn>
                          </a:cxnLst>
                          <a:rect l="0" t="0" r="r" b="b"/>
                          <a:pathLst>
                            <a:path w="6094" h="25">
                              <a:moveTo>
                                <a:pt x="0" y="25"/>
                              </a:moveTo>
                              <a:lnTo>
                                <a:pt x="6094" y="0"/>
                              </a:lnTo>
                            </a:path>
                          </a:pathLst>
                        </a:custGeom>
                        <a:noFill/>
                        <a:ln w="9525">
                          <a:noFill/>
                          <a:round/>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mc:Fallback>
        </mc:AlternateContent>
      </w:r>
      <w:bookmarkStart w:id="4" w:name="MKsSingleOrMulti1"/>
      <w:bookmarkEnd w:id="4"/>
      <w:r w:rsidR="002200A1">
        <w:rPr>
          <w:rFonts w:cs="David" w:hint="cs"/>
          <w:sz w:val="26"/>
          <w:szCs w:val="26"/>
          <w:rtl/>
        </w:rPr>
        <w:tab/>
      </w:r>
      <w:bookmarkStart w:id="5" w:name="MKs1"/>
      <w:bookmarkEnd w:id="5"/>
    </w:p>
    <w:p w:rsidR="00E13C27" w:rsidRDefault="0014195F" w:rsidP="00292712">
      <w:pPr>
        <w:ind w:left="2919" w:firstLine="720"/>
        <w:rPr>
          <w:rFonts w:cs="David"/>
          <w:sz w:val="26"/>
          <w:szCs w:val="26"/>
          <w:rtl/>
        </w:rPr>
      </w:pPr>
      <w:r>
        <w:rPr>
          <w:rFonts w:cs="David"/>
          <w:noProof/>
          <w:sz w:val="26"/>
          <w:szCs w:val="26"/>
          <w:rtl/>
          <w:lang w:eastAsia="en-US"/>
        </w:rPr>
        <mc:AlternateContent>
          <mc:Choice Requires="wps">
            <w:drawing>
              <wp:anchor distT="0" distB="0" distL="114300" distR="114300" simplePos="0" relativeHeight="251657216" behindDoc="0" locked="0" layoutInCell="1" allowOverlap="1" wp14:anchorId="58098B07" wp14:editId="1B0811B0">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Pr>
          <w:rFonts w:cs="David" w:hint="cs"/>
          <w:sz w:val="26"/>
          <w:szCs w:val="26"/>
          <w:rtl/>
        </w:rPr>
        <w:tab/>
      </w:r>
      <w:r w:rsidR="00E13C27">
        <w:rPr>
          <w:rFonts w:cs="David" w:hint="cs"/>
          <w:sz w:val="26"/>
          <w:szCs w:val="26"/>
          <w:rtl/>
        </w:rPr>
        <w:tab/>
      </w:r>
      <w:r w:rsidR="00E13C27">
        <w:rPr>
          <w:rFonts w:cs="David" w:hint="cs"/>
          <w:sz w:val="26"/>
          <w:szCs w:val="26"/>
          <w:rtl/>
        </w:rPr>
        <w:tab/>
      </w:r>
      <w:r w:rsidR="00E13C27">
        <w:rPr>
          <w:rFonts w:cs="David" w:hint="cs"/>
          <w:sz w:val="26"/>
          <w:szCs w:val="26"/>
          <w:rtl/>
        </w:rPr>
        <w:tab/>
      </w:r>
      <w:bookmarkStart w:id="6" w:name="LawNum"/>
      <w:r w:rsidR="00D018AF" w:rsidRPr="00D018AF">
        <w:rPr>
          <w:rFonts w:cs="David"/>
          <w:sz w:val="26"/>
          <w:szCs w:val="26"/>
          <w:rtl/>
        </w:rPr>
        <w:t>פ/1770/19</w:t>
      </w:r>
      <w:bookmarkEnd w:id="6"/>
      <w:r w:rsidR="00E13C27">
        <w:rPr>
          <w:rFonts w:cs="David" w:hint="cs"/>
          <w:sz w:val="26"/>
          <w:szCs w:val="26"/>
          <w:rtl/>
        </w:rPr>
        <w:tab/>
      </w:r>
      <w:r w:rsidR="00E13C27">
        <w:rPr>
          <w:rFonts w:cs="David" w:hint="cs"/>
          <w:sz w:val="26"/>
          <w:szCs w:val="26"/>
          <w:rtl/>
        </w:rPr>
        <w:tab/>
      </w:r>
      <w:r w:rsidR="00E13C27">
        <w:rPr>
          <w:rFonts w:cs="David" w:hint="cs"/>
          <w:sz w:val="26"/>
          <w:szCs w:val="26"/>
          <w:rtl/>
        </w:rPr>
        <w:tab/>
      </w:r>
    </w:p>
    <w:p w:rsidR="00957CD6" w:rsidRPr="00C25C6B" w:rsidRDefault="008F67BD" w:rsidP="00C25C6B">
      <w:pPr>
        <w:pStyle w:val="HeadHatzaotHok"/>
        <w:rPr>
          <w:rtl/>
        </w:rPr>
      </w:pPr>
      <w:r w:rsidRPr="00C25C6B">
        <w:rPr>
          <w:rFonts w:hint="cs"/>
          <w:rtl/>
        </w:rPr>
        <w:t>הצעת חוק התקשורת (בזק ושידורים) (תיקון</w:t>
      </w:r>
      <w:r w:rsidR="00D137B8" w:rsidRPr="00C25C6B">
        <w:rPr>
          <w:rFonts w:hint="cs"/>
          <w:rtl/>
        </w:rPr>
        <w:t xml:space="preserve"> </w:t>
      </w:r>
      <w:r w:rsidR="00D137B8" w:rsidRPr="00C25C6B">
        <w:rPr>
          <w:rFonts w:hint="eastAsia"/>
          <w:rtl/>
        </w:rPr>
        <w:t>–</w:t>
      </w:r>
      <w:r w:rsidR="00D137B8" w:rsidRPr="00C25C6B">
        <w:rPr>
          <w:rFonts w:hint="cs"/>
          <w:rtl/>
        </w:rPr>
        <w:t xml:space="preserve"> </w:t>
      </w:r>
      <w:r w:rsidRPr="00C25C6B">
        <w:rPr>
          <w:rFonts w:hint="cs"/>
          <w:rtl/>
        </w:rPr>
        <w:t>חו</w:t>
      </w:r>
      <w:r w:rsidR="00D137B8" w:rsidRPr="00C25C6B">
        <w:rPr>
          <w:rFonts w:hint="cs"/>
          <w:rtl/>
        </w:rPr>
        <w:t>בת סינון אתרים פוגעניים), התשע"ד</w:t>
      </w:r>
      <w:r w:rsidR="00D137B8" w:rsidRPr="00C25C6B">
        <w:rPr>
          <w:rFonts w:hint="eastAsia"/>
          <w:rtl/>
        </w:rPr>
        <w:t>–</w:t>
      </w:r>
      <w:r w:rsidRPr="00C25C6B">
        <w:rPr>
          <w:rFonts w:hint="cs"/>
          <w:rtl/>
        </w:rPr>
        <w:t>2013</w:t>
      </w:r>
    </w:p>
    <w:p w:rsidR="004113A5" w:rsidRDefault="008F67BD" w:rsidP="00D137B8">
      <w:pPr>
        <w:pStyle w:val="HeadHatzaotHok"/>
        <w:tabs>
          <w:tab w:val="left" w:pos="4071"/>
          <w:tab w:val="center" w:pos="4819"/>
        </w:tabs>
        <w:spacing w:before="0"/>
        <w:rPr>
          <w:sz w:val="28"/>
          <w:szCs w:val="28"/>
          <w:rtl/>
        </w:rPr>
      </w:pPr>
      <w:r w:rsidRPr="00D137B8">
        <w:rPr>
          <w:rFonts w:hint="cs"/>
          <w:sz w:val="28"/>
          <w:szCs w:val="28"/>
          <w:rtl/>
        </w:rPr>
        <w:t xml:space="preserve"> </w:t>
      </w:r>
    </w:p>
    <w:tbl>
      <w:tblPr>
        <w:bidiVisual/>
        <w:tblW w:w="9637"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5896"/>
      </w:tblGrid>
      <w:tr w:rsidR="004113A5" w:rsidTr="008700D2">
        <w:trPr>
          <w:cantSplit/>
        </w:trPr>
        <w:tc>
          <w:tcPr>
            <w:tcW w:w="1869" w:type="dxa"/>
            <w:tcBorders>
              <w:top w:val="nil"/>
              <w:left w:val="nil"/>
              <w:bottom w:val="nil"/>
              <w:right w:val="nil"/>
            </w:tcBorders>
          </w:tcPr>
          <w:p w:rsidR="004113A5" w:rsidRPr="001E0112" w:rsidRDefault="004113A5" w:rsidP="004113A5">
            <w:pPr>
              <w:pStyle w:val="TableSideHeading"/>
              <w:ind w:right="0"/>
            </w:pPr>
            <w:r w:rsidRPr="001E0112">
              <w:rPr>
                <w:rFonts w:hint="cs"/>
                <w:rtl/>
              </w:rPr>
              <w:t xml:space="preserve">תיקון סעיף 4ט </w:t>
            </w:r>
          </w:p>
        </w:tc>
        <w:tc>
          <w:tcPr>
            <w:tcW w:w="624" w:type="dxa"/>
            <w:tcBorders>
              <w:top w:val="nil"/>
              <w:left w:val="nil"/>
              <w:bottom w:val="nil"/>
              <w:right w:val="nil"/>
            </w:tcBorders>
          </w:tcPr>
          <w:p w:rsidR="004113A5" w:rsidRPr="00EA1ED3" w:rsidRDefault="004113A5" w:rsidP="00EA1ED3">
            <w:pPr>
              <w:pStyle w:val="TableText"/>
              <w:ind w:right="0"/>
              <w:jc w:val="both"/>
            </w:pPr>
            <w:r w:rsidRPr="00EA1ED3">
              <w:rPr>
                <w:rFonts w:hint="cs"/>
                <w:rtl/>
              </w:rPr>
              <w:t xml:space="preserve">1.  </w:t>
            </w:r>
          </w:p>
        </w:tc>
        <w:tc>
          <w:tcPr>
            <w:tcW w:w="7144" w:type="dxa"/>
            <w:gridSpan w:val="3"/>
            <w:tcBorders>
              <w:top w:val="nil"/>
              <w:left w:val="nil"/>
              <w:bottom w:val="nil"/>
              <w:right w:val="nil"/>
            </w:tcBorders>
          </w:tcPr>
          <w:p w:rsidR="004113A5" w:rsidRPr="001E0112" w:rsidRDefault="004113A5" w:rsidP="00EA1ED3">
            <w:pPr>
              <w:pStyle w:val="TableBlock"/>
            </w:pPr>
            <w:r w:rsidRPr="001E0112">
              <w:rPr>
                <w:rFonts w:hint="cs"/>
                <w:rtl/>
              </w:rPr>
              <w:t>בחוק התקשורת (בזק ושידורים), התשמ"ב</w:t>
            </w:r>
            <w:r>
              <w:rPr>
                <w:rFonts w:hint="eastAsia"/>
                <w:rtl/>
              </w:rPr>
              <w:t>–</w:t>
            </w:r>
            <w:r w:rsidRPr="001E0112">
              <w:rPr>
                <w:rFonts w:hint="cs"/>
                <w:rtl/>
              </w:rPr>
              <w:t>1982</w:t>
            </w:r>
            <w:r w:rsidR="008700D2">
              <w:rPr>
                <w:rStyle w:val="a6"/>
                <w:rtl/>
              </w:rPr>
              <w:footnoteReference w:id="2"/>
            </w:r>
            <w:r w:rsidR="008700D2">
              <w:rPr>
                <w:rFonts w:hint="cs"/>
                <w:rtl/>
              </w:rPr>
              <w:t xml:space="preserve"> (להלן </w:t>
            </w:r>
            <w:r w:rsidR="008700D2">
              <w:rPr>
                <w:rtl/>
              </w:rPr>
              <w:t>–</w:t>
            </w:r>
            <w:r w:rsidR="008700D2">
              <w:rPr>
                <w:rFonts w:hint="cs"/>
                <w:rtl/>
              </w:rPr>
              <w:t xml:space="preserve"> החוק העיקרי)</w:t>
            </w:r>
            <w:r w:rsidRPr="001E0112">
              <w:rPr>
                <w:rFonts w:hint="cs"/>
                <w:rtl/>
              </w:rPr>
              <w:t xml:space="preserve">, בסעיף 4ט </w:t>
            </w:r>
            <w:r w:rsidRPr="001E0112">
              <w:rPr>
                <w:rFonts w:hint="eastAsia"/>
                <w:rtl/>
              </w:rPr>
              <w:t>–</w:t>
            </w:r>
          </w:p>
        </w:tc>
      </w:tr>
      <w:tr w:rsidR="004113A5" w:rsidTr="008700D2">
        <w:trPr>
          <w:cantSplit/>
        </w:trPr>
        <w:tc>
          <w:tcPr>
            <w:tcW w:w="1869" w:type="dxa"/>
            <w:tcBorders>
              <w:top w:val="nil"/>
              <w:left w:val="nil"/>
              <w:bottom w:val="nil"/>
              <w:right w:val="nil"/>
            </w:tcBorders>
          </w:tcPr>
          <w:p w:rsidR="004113A5" w:rsidRDefault="004113A5" w:rsidP="004113A5">
            <w:pPr>
              <w:pStyle w:val="TableSideHeading"/>
              <w:keepLines w:val="0"/>
            </w:pPr>
          </w:p>
        </w:tc>
        <w:tc>
          <w:tcPr>
            <w:tcW w:w="624" w:type="dxa"/>
            <w:tcBorders>
              <w:top w:val="nil"/>
              <w:left w:val="nil"/>
              <w:bottom w:val="nil"/>
              <w:right w:val="nil"/>
            </w:tcBorders>
          </w:tcPr>
          <w:p w:rsidR="004113A5" w:rsidRDefault="004113A5" w:rsidP="004113A5">
            <w:pPr>
              <w:pStyle w:val="TableText"/>
            </w:pPr>
          </w:p>
        </w:tc>
        <w:tc>
          <w:tcPr>
            <w:tcW w:w="7144" w:type="dxa"/>
            <w:gridSpan w:val="3"/>
            <w:tcBorders>
              <w:top w:val="nil"/>
              <w:left w:val="nil"/>
              <w:bottom w:val="nil"/>
              <w:right w:val="nil"/>
            </w:tcBorders>
          </w:tcPr>
          <w:p w:rsidR="004113A5" w:rsidRPr="002546B6" w:rsidRDefault="004113A5" w:rsidP="00EA1ED3">
            <w:pPr>
              <w:pStyle w:val="TableBlock"/>
              <w:rPr>
                <w:sz w:val="26"/>
                <w:rtl/>
              </w:rPr>
            </w:pPr>
            <w:r w:rsidRPr="001E0112">
              <w:rPr>
                <w:rFonts w:hint="cs"/>
                <w:rtl/>
              </w:rPr>
              <w:t>(1)</w:t>
            </w:r>
            <w:r w:rsidRPr="001E0112">
              <w:rPr>
                <w:rtl/>
              </w:rPr>
              <w:tab/>
            </w:r>
            <w:r w:rsidRPr="001E0112">
              <w:rPr>
                <w:rFonts w:hint="cs"/>
                <w:rtl/>
              </w:rPr>
              <w:t xml:space="preserve"> בסעיף קטן (א), בהגדרה "תוכן פוגעני"</w:t>
            </w:r>
            <w:r w:rsidR="00957CD6">
              <w:rPr>
                <w:rFonts w:hint="cs"/>
                <w:rtl/>
              </w:rPr>
              <w:t>,</w:t>
            </w:r>
            <w:r w:rsidR="00957CD6" w:rsidRPr="001E0112">
              <w:rPr>
                <w:rFonts w:hint="cs"/>
                <w:rtl/>
              </w:rPr>
              <w:t xml:space="preserve"> </w:t>
            </w:r>
            <w:r w:rsidR="00957CD6">
              <w:rPr>
                <w:rFonts w:hint="cs"/>
                <w:rtl/>
              </w:rPr>
              <w:t xml:space="preserve">בפסקה (1) </w:t>
            </w:r>
            <w:r w:rsidRPr="001E0112">
              <w:rPr>
                <w:rFonts w:hint="cs"/>
                <w:rtl/>
              </w:rPr>
              <w:t xml:space="preserve"> </w:t>
            </w:r>
            <w:r w:rsidRPr="001E0112">
              <w:rPr>
                <w:rFonts w:hint="eastAsia"/>
                <w:rtl/>
              </w:rPr>
              <w:t>–</w:t>
            </w:r>
          </w:p>
        </w:tc>
      </w:tr>
      <w:tr w:rsidR="004113A5" w:rsidTr="008700D2">
        <w:trPr>
          <w:cantSplit/>
        </w:trPr>
        <w:tc>
          <w:tcPr>
            <w:tcW w:w="1869" w:type="dxa"/>
            <w:tcBorders>
              <w:top w:val="nil"/>
              <w:left w:val="nil"/>
              <w:bottom w:val="nil"/>
              <w:right w:val="nil"/>
            </w:tcBorders>
          </w:tcPr>
          <w:p w:rsidR="004113A5" w:rsidRDefault="004113A5" w:rsidP="004113A5">
            <w:pPr>
              <w:pStyle w:val="TableSideHeading"/>
            </w:pPr>
          </w:p>
        </w:tc>
        <w:tc>
          <w:tcPr>
            <w:tcW w:w="624" w:type="dxa"/>
            <w:tcBorders>
              <w:top w:val="nil"/>
              <w:left w:val="nil"/>
              <w:bottom w:val="nil"/>
              <w:right w:val="nil"/>
            </w:tcBorders>
          </w:tcPr>
          <w:p w:rsidR="004113A5" w:rsidRDefault="004113A5" w:rsidP="004113A5">
            <w:pPr>
              <w:pStyle w:val="TableText"/>
            </w:pPr>
          </w:p>
        </w:tc>
        <w:tc>
          <w:tcPr>
            <w:tcW w:w="624" w:type="dxa"/>
            <w:tcBorders>
              <w:top w:val="nil"/>
              <w:left w:val="nil"/>
              <w:bottom w:val="nil"/>
              <w:right w:val="nil"/>
            </w:tcBorders>
          </w:tcPr>
          <w:p w:rsidR="004113A5" w:rsidRPr="002546B6" w:rsidRDefault="004113A5" w:rsidP="004113A5">
            <w:pPr>
              <w:pStyle w:val="TableText"/>
            </w:pPr>
          </w:p>
        </w:tc>
        <w:tc>
          <w:tcPr>
            <w:tcW w:w="6520" w:type="dxa"/>
            <w:gridSpan w:val="2"/>
            <w:tcBorders>
              <w:top w:val="nil"/>
              <w:left w:val="nil"/>
              <w:bottom w:val="nil"/>
              <w:right w:val="nil"/>
            </w:tcBorders>
          </w:tcPr>
          <w:p w:rsidR="004113A5" w:rsidRPr="002546B6" w:rsidRDefault="004113A5" w:rsidP="008700D2">
            <w:pPr>
              <w:pStyle w:val="TableBlock"/>
              <w:rPr>
                <w:rtl/>
              </w:rPr>
            </w:pPr>
            <w:r w:rsidRPr="001E0112">
              <w:rPr>
                <w:rFonts w:hint="cs"/>
                <w:rtl/>
              </w:rPr>
              <w:t>(א)</w:t>
            </w:r>
            <w:r w:rsidRPr="001E0112">
              <w:rPr>
                <w:rtl/>
              </w:rPr>
              <w:tab/>
            </w:r>
            <w:r w:rsidRPr="001E0112">
              <w:rPr>
                <w:rFonts w:hint="cs"/>
                <w:rtl/>
              </w:rPr>
              <w:t xml:space="preserve"> </w:t>
            </w:r>
            <w:r w:rsidR="008700D2" w:rsidRPr="002546B6">
              <w:rPr>
                <w:sz w:val="26"/>
                <w:rtl/>
              </w:rPr>
              <w:t>ב</w:t>
            </w:r>
            <w:r w:rsidR="008700D2">
              <w:rPr>
                <w:rFonts w:hint="cs"/>
                <w:sz w:val="26"/>
                <w:rtl/>
              </w:rPr>
              <w:t xml:space="preserve">פסקת משנה (א), במקום הסיפה החל במילים "שיש בהם" </w:t>
            </w:r>
            <w:r w:rsidR="008700D2" w:rsidRPr="002546B6">
              <w:rPr>
                <w:sz w:val="26"/>
                <w:rtl/>
              </w:rPr>
              <w:t>יבוא "מכל סוג</w:t>
            </w:r>
            <w:r w:rsidR="008700D2">
              <w:rPr>
                <w:rFonts w:hint="cs"/>
                <w:sz w:val="26"/>
                <w:rtl/>
              </w:rPr>
              <w:t>;</w:t>
            </w:r>
            <w:r w:rsidR="008700D2" w:rsidRPr="002546B6">
              <w:rPr>
                <w:sz w:val="26"/>
                <w:rtl/>
              </w:rPr>
              <w:t>";</w:t>
            </w:r>
          </w:p>
        </w:tc>
      </w:tr>
      <w:tr w:rsidR="008700D2" w:rsidTr="008700D2">
        <w:trPr>
          <w:cantSplit/>
        </w:trPr>
        <w:tc>
          <w:tcPr>
            <w:tcW w:w="1869" w:type="dxa"/>
            <w:tcBorders>
              <w:top w:val="nil"/>
              <w:left w:val="nil"/>
              <w:bottom w:val="nil"/>
              <w:right w:val="nil"/>
            </w:tcBorders>
          </w:tcPr>
          <w:p w:rsidR="008700D2" w:rsidRDefault="008700D2" w:rsidP="004113A5">
            <w:pPr>
              <w:pStyle w:val="TableSideHeading"/>
            </w:pPr>
          </w:p>
        </w:tc>
        <w:tc>
          <w:tcPr>
            <w:tcW w:w="624" w:type="dxa"/>
            <w:tcBorders>
              <w:top w:val="nil"/>
              <w:left w:val="nil"/>
              <w:bottom w:val="nil"/>
              <w:right w:val="nil"/>
            </w:tcBorders>
          </w:tcPr>
          <w:p w:rsidR="008700D2" w:rsidRDefault="008700D2" w:rsidP="008700D2">
            <w:pPr>
              <w:pStyle w:val="TableText"/>
            </w:pPr>
          </w:p>
        </w:tc>
        <w:tc>
          <w:tcPr>
            <w:tcW w:w="624" w:type="dxa"/>
            <w:tcBorders>
              <w:top w:val="nil"/>
              <w:left w:val="nil"/>
              <w:bottom w:val="nil"/>
              <w:right w:val="nil"/>
            </w:tcBorders>
          </w:tcPr>
          <w:p w:rsidR="008700D2" w:rsidRPr="002546B6" w:rsidRDefault="008700D2" w:rsidP="004113A5">
            <w:pPr>
              <w:pStyle w:val="TableText"/>
            </w:pPr>
          </w:p>
        </w:tc>
        <w:tc>
          <w:tcPr>
            <w:tcW w:w="6520" w:type="dxa"/>
            <w:gridSpan w:val="2"/>
            <w:tcBorders>
              <w:top w:val="nil"/>
              <w:left w:val="nil"/>
              <w:bottom w:val="nil"/>
              <w:right w:val="nil"/>
            </w:tcBorders>
          </w:tcPr>
          <w:p w:rsidR="008700D2" w:rsidRPr="001E0112" w:rsidRDefault="008700D2" w:rsidP="008700D2">
            <w:pPr>
              <w:pStyle w:val="TableBlock"/>
              <w:rPr>
                <w:rtl/>
              </w:rPr>
            </w:pPr>
            <w:r>
              <w:rPr>
                <w:rFonts w:hint="cs"/>
                <w:rtl/>
              </w:rPr>
              <w:t>(ב)</w:t>
            </w:r>
            <w:r>
              <w:rPr>
                <w:rtl/>
              </w:rPr>
              <w:tab/>
            </w:r>
            <w:r w:rsidRPr="001E0112">
              <w:rPr>
                <w:rFonts w:hint="cs"/>
                <w:rtl/>
              </w:rPr>
              <w:t>פסקת משנה (ב)</w:t>
            </w:r>
            <w:r>
              <w:rPr>
                <w:rFonts w:hint="cs"/>
                <w:rtl/>
              </w:rPr>
              <w:t xml:space="preserve"> </w:t>
            </w:r>
            <w:r>
              <w:rPr>
                <w:rFonts w:hint="eastAsia"/>
                <w:rtl/>
              </w:rPr>
              <w:t>–</w:t>
            </w:r>
            <w:r>
              <w:rPr>
                <w:rFonts w:hint="cs"/>
                <w:rtl/>
              </w:rPr>
              <w:t xml:space="preserve"> תימחק</w:t>
            </w:r>
            <w:r w:rsidRPr="001E0112">
              <w:rPr>
                <w:rFonts w:hint="cs"/>
                <w:rtl/>
              </w:rPr>
              <w:t>;</w:t>
            </w:r>
          </w:p>
        </w:tc>
      </w:tr>
      <w:tr w:rsidR="008700D2" w:rsidTr="008700D2">
        <w:trPr>
          <w:cantSplit/>
        </w:trPr>
        <w:tc>
          <w:tcPr>
            <w:tcW w:w="1869" w:type="dxa"/>
            <w:tcBorders>
              <w:top w:val="nil"/>
              <w:left w:val="nil"/>
              <w:bottom w:val="nil"/>
              <w:right w:val="nil"/>
            </w:tcBorders>
          </w:tcPr>
          <w:p w:rsidR="008700D2" w:rsidRDefault="008700D2" w:rsidP="004113A5">
            <w:pPr>
              <w:pStyle w:val="TableSideHeading"/>
            </w:pPr>
          </w:p>
        </w:tc>
        <w:tc>
          <w:tcPr>
            <w:tcW w:w="624" w:type="dxa"/>
            <w:tcBorders>
              <w:top w:val="nil"/>
              <w:left w:val="nil"/>
              <w:bottom w:val="nil"/>
              <w:right w:val="nil"/>
            </w:tcBorders>
          </w:tcPr>
          <w:p w:rsidR="008700D2" w:rsidRDefault="008700D2" w:rsidP="008700D2">
            <w:pPr>
              <w:pStyle w:val="TableText"/>
            </w:pPr>
          </w:p>
        </w:tc>
        <w:tc>
          <w:tcPr>
            <w:tcW w:w="624" w:type="dxa"/>
            <w:tcBorders>
              <w:top w:val="nil"/>
              <w:left w:val="nil"/>
              <w:bottom w:val="nil"/>
              <w:right w:val="nil"/>
            </w:tcBorders>
          </w:tcPr>
          <w:p w:rsidR="008700D2" w:rsidRPr="002546B6" w:rsidRDefault="008700D2" w:rsidP="004113A5">
            <w:pPr>
              <w:pStyle w:val="TableText"/>
            </w:pPr>
          </w:p>
        </w:tc>
        <w:tc>
          <w:tcPr>
            <w:tcW w:w="6520" w:type="dxa"/>
            <w:gridSpan w:val="2"/>
            <w:tcBorders>
              <w:top w:val="nil"/>
              <w:left w:val="nil"/>
              <w:bottom w:val="nil"/>
              <w:right w:val="nil"/>
            </w:tcBorders>
          </w:tcPr>
          <w:p w:rsidR="008700D2" w:rsidRPr="001E0112" w:rsidRDefault="008700D2" w:rsidP="008700D2">
            <w:pPr>
              <w:pStyle w:val="TableBlock"/>
              <w:rPr>
                <w:rtl/>
              </w:rPr>
            </w:pPr>
            <w:r>
              <w:rPr>
                <w:rFonts w:hint="cs"/>
                <w:rtl/>
              </w:rPr>
              <w:t>(ג)</w:t>
            </w:r>
            <w:r>
              <w:rPr>
                <w:rtl/>
              </w:rPr>
              <w:tab/>
            </w:r>
            <w:r>
              <w:rPr>
                <w:rFonts w:hint="cs"/>
                <w:rtl/>
              </w:rPr>
              <w:t xml:space="preserve">אחרי פסקת משנה (ג), </w:t>
            </w:r>
            <w:r w:rsidRPr="001E0112">
              <w:rPr>
                <w:rFonts w:hint="cs"/>
                <w:rtl/>
              </w:rPr>
              <w:t>יבוא:</w:t>
            </w:r>
          </w:p>
        </w:tc>
      </w:tr>
      <w:tr w:rsidR="00CA069A" w:rsidTr="008700D2">
        <w:tblPrEx>
          <w:tblLook w:val="01E0" w:firstRow="1" w:lastRow="1" w:firstColumn="1" w:lastColumn="1" w:noHBand="0" w:noVBand="0"/>
        </w:tblPrEx>
        <w:trPr>
          <w:cantSplit/>
        </w:trPr>
        <w:tc>
          <w:tcPr>
            <w:tcW w:w="1869" w:type="dxa"/>
          </w:tcPr>
          <w:p w:rsidR="00CA069A" w:rsidRDefault="00CA069A">
            <w:pPr>
              <w:pStyle w:val="TableSideHeading"/>
            </w:pPr>
          </w:p>
        </w:tc>
        <w:tc>
          <w:tcPr>
            <w:tcW w:w="624" w:type="dxa"/>
          </w:tcPr>
          <w:p w:rsidR="00CA069A" w:rsidRDefault="00CA069A">
            <w:pPr>
              <w:pStyle w:val="TableText"/>
            </w:pPr>
          </w:p>
        </w:tc>
        <w:tc>
          <w:tcPr>
            <w:tcW w:w="624" w:type="dxa"/>
          </w:tcPr>
          <w:p w:rsidR="00CA069A" w:rsidRDefault="00CA069A">
            <w:pPr>
              <w:pStyle w:val="TableText"/>
            </w:pPr>
          </w:p>
        </w:tc>
        <w:tc>
          <w:tcPr>
            <w:tcW w:w="624" w:type="dxa"/>
          </w:tcPr>
          <w:p w:rsidR="00CA069A" w:rsidRDefault="00CA069A">
            <w:pPr>
              <w:pStyle w:val="TableText"/>
            </w:pPr>
          </w:p>
        </w:tc>
        <w:tc>
          <w:tcPr>
            <w:tcW w:w="5896" w:type="dxa"/>
          </w:tcPr>
          <w:p w:rsidR="00CA069A" w:rsidRDefault="008700D2" w:rsidP="00652CF8">
            <w:pPr>
              <w:pStyle w:val="TableBlock"/>
            </w:pPr>
            <w:r>
              <w:rPr>
                <w:rFonts w:hint="cs"/>
                <w:rtl/>
              </w:rPr>
              <w:t>"(ד)</w:t>
            </w:r>
            <w:r>
              <w:rPr>
                <w:rtl/>
              </w:rPr>
              <w:tab/>
            </w:r>
            <w:r w:rsidR="00CA069A" w:rsidRPr="001E0112">
              <w:rPr>
                <w:rFonts w:hint="cs"/>
                <w:rtl/>
              </w:rPr>
              <w:t>הצגת עירום</w:t>
            </w:r>
            <w:r>
              <w:rPr>
                <w:rFonts w:hint="cs"/>
                <w:rtl/>
              </w:rPr>
              <w:t>;</w:t>
            </w:r>
            <w:r w:rsidR="00CA069A" w:rsidRPr="001E0112">
              <w:rPr>
                <w:rFonts w:hint="cs"/>
                <w:rtl/>
              </w:rPr>
              <w:t>"</w:t>
            </w:r>
            <w:r w:rsidR="00652CF8">
              <w:rPr>
                <w:rFonts w:hint="cs"/>
                <w:rtl/>
              </w:rPr>
              <w:t>;</w:t>
            </w:r>
          </w:p>
        </w:tc>
      </w:tr>
      <w:tr w:rsidR="00CF0EDD" w:rsidTr="008700D2">
        <w:trPr>
          <w:cantSplit/>
        </w:trPr>
        <w:tc>
          <w:tcPr>
            <w:tcW w:w="1869" w:type="dxa"/>
            <w:tcBorders>
              <w:top w:val="nil"/>
              <w:left w:val="nil"/>
              <w:bottom w:val="nil"/>
              <w:right w:val="nil"/>
            </w:tcBorders>
          </w:tcPr>
          <w:p w:rsidR="00CF0EDD" w:rsidRDefault="00CF0EDD" w:rsidP="004113A5">
            <w:pPr>
              <w:pStyle w:val="TableSideHeading"/>
            </w:pPr>
          </w:p>
        </w:tc>
        <w:tc>
          <w:tcPr>
            <w:tcW w:w="624" w:type="dxa"/>
            <w:tcBorders>
              <w:top w:val="nil"/>
              <w:left w:val="nil"/>
              <w:bottom w:val="nil"/>
              <w:right w:val="nil"/>
            </w:tcBorders>
          </w:tcPr>
          <w:p w:rsidR="00CF0EDD" w:rsidRDefault="00CF0EDD" w:rsidP="004113A5">
            <w:pPr>
              <w:pStyle w:val="TableText"/>
            </w:pPr>
          </w:p>
        </w:tc>
        <w:tc>
          <w:tcPr>
            <w:tcW w:w="7144" w:type="dxa"/>
            <w:gridSpan w:val="3"/>
            <w:tcBorders>
              <w:top w:val="nil"/>
              <w:left w:val="nil"/>
              <w:bottom w:val="nil"/>
              <w:right w:val="nil"/>
            </w:tcBorders>
          </w:tcPr>
          <w:p w:rsidR="00CF0EDD" w:rsidRPr="001E0112" w:rsidRDefault="00CF0EDD" w:rsidP="00E93FCB">
            <w:pPr>
              <w:pStyle w:val="TableBlock"/>
              <w:rPr>
                <w:rtl/>
              </w:rPr>
            </w:pPr>
            <w:r>
              <w:rPr>
                <w:rFonts w:hint="cs"/>
                <w:rtl/>
              </w:rPr>
              <w:t>(2)</w:t>
            </w:r>
            <w:r>
              <w:rPr>
                <w:rtl/>
              </w:rPr>
              <w:tab/>
            </w:r>
            <w:r w:rsidR="00E93FCB">
              <w:rPr>
                <w:rFonts w:hint="cs"/>
                <w:rtl/>
              </w:rPr>
              <w:t>בסעיף קטן (ג)</w:t>
            </w:r>
            <w:r w:rsidRPr="001E0112">
              <w:rPr>
                <w:rFonts w:hint="cs"/>
                <w:rtl/>
              </w:rPr>
              <w:t>(4)</w:t>
            </w:r>
            <w:r w:rsidR="00170431">
              <w:rPr>
                <w:rFonts w:hint="cs"/>
                <w:rtl/>
              </w:rPr>
              <w:t xml:space="preserve">, </w:t>
            </w:r>
            <w:r w:rsidR="00652CF8">
              <w:rPr>
                <w:rFonts w:hint="cs"/>
                <w:rtl/>
              </w:rPr>
              <w:t>בסופו</w:t>
            </w:r>
            <w:r w:rsidRPr="001E0112">
              <w:rPr>
                <w:rFonts w:hint="cs"/>
                <w:rtl/>
              </w:rPr>
              <w:t xml:space="preserve"> יבוא</w:t>
            </w:r>
            <w:r w:rsidR="00170431">
              <w:rPr>
                <w:rFonts w:hint="cs"/>
                <w:rtl/>
              </w:rPr>
              <w:t xml:space="preserve"> "</w:t>
            </w:r>
            <w:r w:rsidR="00652CF8">
              <w:rPr>
                <w:rFonts w:hint="cs"/>
                <w:rtl/>
              </w:rPr>
              <w:t xml:space="preserve">וכן </w:t>
            </w:r>
            <w:r w:rsidR="00170431">
              <w:rPr>
                <w:rFonts w:hint="cs"/>
                <w:rtl/>
              </w:rPr>
              <w:t>באמצעות שיחת טלפון"</w:t>
            </w:r>
            <w:r w:rsidR="00652CF8">
              <w:rPr>
                <w:rFonts w:hint="cs"/>
                <w:rtl/>
              </w:rPr>
              <w:t>;</w:t>
            </w:r>
          </w:p>
        </w:tc>
      </w:tr>
      <w:tr w:rsidR="004113A5" w:rsidTr="008700D2">
        <w:tblPrEx>
          <w:tblLook w:val="01E0" w:firstRow="1" w:lastRow="1" w:firstColumn="1" w:lastColumn="1" w:noHBand="0" w:noVBand="0"/>
        </w:tblPrEx>
        <w:trPr>
          <w:cantSplit/>
        </w:trPr>
        <w:tc>
          <w:tcPr>
            <w:tcW w:w="1869" w:type="dxa"/>
          </w:tcPr>
          <w:p w:rsidR="004113A5" w:rsidRDefault="004113A5">
            <w:pPr>
              <w:pStyle w:val="TableSideHeading"/>
            </w:pPr>
          </w:p>
        </w:tc>
        <w:tc>
          <w:tcPr>
            <w:tcW w:w="624" w:type="dxa"/>
          </w:tcPr>
          <w:p w:rsidR="004113A5" w:rsidRDefault="004113A5">
            <w:pPr>
              <w:pStyle w:val="TableText"/>
            </w:pPr>
          </w:p>
        </w:tc>
        <w:tc>
          <w:tcPr>
            <w:tcW w:w="7144" w:type="dxa"/>
            <w:gridSpan w:val="3"/>
          </w:tcPr>
          <w:p w:rsidR="004113A5" w:rsidRPr="00C34DE2" w:rsidRDefault="00CF0EDD" w:rsidP="00652CF8">
            <w:pPr>
              <w:pStyle w:val="TableBlock"/>
            </w:pPr>
            <w:r>
              <w:rPr>
                <w:rFonts w:hint="cs"/>
                <w:rtl/>
              </w:rPr>
              <w:t>(3)</w:t>
            </w:r>
            <w:r>
              <w:rPr>
                <w:rtl/>
              </w:rPr>
              <w:tab/>
            </w:r>
            <w:r w:rsidRPr="001E0112">
              <w:rPr>
                <w:rFonts w:hint="cs"/>
                <w:rtl/>
              </w:rPr>
              <w:t>בסעיף קטן (ד), במקום ה</w:t>
            </w:r>
            <w:r w:rsidR="00652CF8">
              <w:rPr>
                <w:rFonts w:hint="cs"/>
                <w:rtl/>
              </w:rPr>
              <w:t>רישה</w:t>
            </w:r>
            <w:r w:rsidR="00D84B60">
              <w:rPr>
                <w:rFonts w:hint="cs"/>
                <w:rtl/>
              </w:rPr>
              <w:t xml:space="preserve"> עד המילים</w:t>
            </w:r>
            <w:r w:rsidRPr="001E0112">
              <w:rPr>
                <w:rFonts w:hint="cs"/>
                <w:rtl/>
              </w:rPr>
              <w:t xml:space="preserve"> "למקובל בתחום" יבוא "ספק גישה לאינטרנט </w:t>
            </w:r>
            <w:r w:rsidR="00A644D8">
              <w:rPr>
                <w:rFonts w:hint="cs"/>
                <w:rtl/>
              </w:rPr>
              <w:t>יסנן עבור</w:t>
            </w:r>
            <w:r w:rsidRPr="001E0112">
              <w:rPr>
                <w:rFonts w:hint="cs"/>
                <w:rtl/>
              </w:rPr>
              <w:t xml:space="preserve"> מנוייו אתרים פוגעני</w:t>
            </w:r>
            <w:r w:rsidR="00B14C31">
              <w:rPr>
                <w:rFonts w:hint="cs"/>
                <w:rtl/>
              </w:rPr>
              <w:t>י</w:t>
            </w:r>
            <w:r w:rsidRPr="001E0112">
              <w:rPr>
                <w:rFonts w:hint="cs"/>
                <w:rtl/>
              </w:rPr>
              <w:t>ם</w:t>
            </w:r>
            <w:r w:rsidR="00652CF8">
              <w:rPr>
                <w:rFonts w:hint="cs"/>
                <w:rtl/>
              </w:rPr>
              <w:t xml:space="preserve"> ותכנים פוגעניים באינטרנט</w:t>
            </w:r>
            <w:r w:rsidR="00A644D8">
              <w:rPr>
                <w:rFonts w:hint="cs"/>
                <w:rtl/>
              </w:rPr>
              <w:t>;</w:t>
            </w:r>
            <w:r w:rsidRPr="001E0112">
              <w:rPr>
                <w:rFonts w:hint="cs"/>
                <w:rtl/>
              </w:rPr>
              <w:t xml:space="preserve"> </w:t>
            </w:r>
            <w:r w:rsidR="00A644D8">
              <w:rPr>
                <w:rFonts w:hint="cs"/>
                <w:rtl/>
              </w:rPr>
              <w:t>ואולם, החובה לבצע סינון כאמור לא תחול אם המנוי ביקש בכתב מהספק להימנע משירות זה</w:t>
            </w:r>
            <w:r w:rsidR="00B14C31">
              <w:rPr>
                <w:rFonts w:hint="cs"/>
                <w:rtl/>
              </w:rPr>
              <w:t>"</w:t>
            </w:r>
            <w:r w:rsidRPr="001E0112">
              <w:rPr>
                <w:rFonts w:hint="cs"/>
                <w:rtl/>
              </w:rPr>
              <w:t>.</w:t>
            </w:r>
          </w:p>
        </w:tc>
      </w:tr>
    </w:tbl>
    <w:p w:rsidR="008F67BD" w:rsidRPr="00D137B8" w:rsidRDefault="008F67BD" w:rsidP="00D137B8">
      <w:pPr>
        <w:pStyle w:val="HeadDivreiHesber"/>
        <w:rPr>
          <w:rtl/>
        </w:rPr>
      </w:pPr>
      <w:r w:rsidRPr="00D137B8">
        <w:rPr>
          <w:rFonts w:hint="cs"/>
          <w:rtl/>
        </w:rPr>
        <w:t>דברי הסבר</w:t>
      </w:r>
    </w:p>
    <w:p w:rsidR="008F67BD" w:rsidRPr="00E93FCB" w:rsidRDefault="008F67BD" w:rsidP="00E93FCB">
      <w:pPr>
        <w:pStyle w:val="Hesber"/>
        <w:rPr>
          <w:rtl/>
        </w:rPr>
      </w:pPr>
      <w:r w:rsidRPr="00E93FCB">
        <w:rPr>
          <w:rFonts w:hint="cs"/>
          <w:rtl/>
        </w:rPr>
        <w:t>הצעת חוק זו מבקשת להגן על קטינים מ</w:t>
      </w:r>
      <w:r w:rsidR="00DC3690" w:rsidRPr="00E93FCB">
        <w:rPr>
          <w:rFonts w:hint="cs"/>
          <w:rtl/>
        </w:rPr>
        <w:t xml:space="preserve">פני </w:t>
      </w:r>
      <w:r w:rsidRPr="00E93FCB">
        <w:rPr>
          <w:rFonts w:hint="cs"/>
          <w:rtl/>
        </w:rPr>
        <w:t xml:space="preserve">חשיפה לתכנים </w:t>
      </w:r>
      <w:r w:rsidR="00DC3690" w:rsidRPr="00E93FCB">
        <w:rPr>
          <w:rFonts w:hint="cs"/>
          <w:rtl/>
        </w:rPr>
        <w:t>פוגעניים</w:t>
      </w:r>
      <w:r w:rsidRPr="00E93FCB">
        <w:rPr>
          <w:rFonts w:hint="cs"/>
          <w:rtl/>
        </w:rPr>
        <w:t xml:space="preserve"> באינטרנט</w:t>
      </w:r>
      <w:r w:rsidR="00DC3690" w:rsidRPr="00E93FCB">
        <w:rPr>
          <w:rFonts w:hint="cs"/>
          <w:rtl/>
        </w:rPr>
        <w:t>, ובכלל זה תכנים פורנוגרפיים</w:t>
      </w:r>
      <w:r w:rsidRPr="00E93FCB">
        <w:rPr>
          <w:rFonts w:hint="cs"/>
          <w:rtl/>
        </w:rPr>
        <w:t xml:space="preserve">. פורנוגרפיה </w:t>
      </w:r>
      <w:r w:rsidR="00DC3690" w:rsidRPr="00E93FCB">
        <w:rPr>
          <w:rFonts w:hint="cs"/>
          <w:rtl/>
        </w:rPr>
        <w:t xml:space="preserve">היא </w:t>
      </w:r>
      <w:r w:rsidRPr="00E93FCB">
        <w:rPr>
          <w:rFonts w:hint="cs"/>
          <w:rtl/>
        </w:rPr>
        <w:t>הצג</w:t>
      </w:r>
      <w:r w:rsidR="00DC3690" w:rsidRPr="00E93FCB">
        <w:rPr>
          <w:rFonts w:hint="cs"/>
          <w:rtl/>
        </w:rPr>
        <w:t>ה</w:t>
      </w:r>
      <w:r w:rsidRPr="00E93FCB">
        <w:rPr>
          <w:rFonts w:hint="cs"/>
          <w:rtl/>
        </w:rPr>
        <w:t xml:space="preserve"> </w:t>
      </w:r>
      <w:r w:rsidR="00DC3690" w:rsidRPr="00E93FCB">
        <w:rPr>
          <w:rFonts w:hint="cs"/>
          <w:rtl/>
        </w:rPr>
        <w:t xml:space="preserve">של </w:t>
      </w:r>
      <w:r w:rsidRPr="00E93FCB">
        <w:rPr>
          <w:rFonts w:hint="cs"/>
          <w:rtl/>
        </w:rPr>
        <w:t>גוף האדם או התנהגות מינית של אדם במטרה לעורר גירוי מיני</w:t>
      </w:r>
      <w:r w:rsidR="00DC3690" w:rsidRPr="00E93FCB">
        <w:rPr>
          <w:rFonts w:hint="cs"/>
          <w:rtl/>
        </w:rPr>
        <w:t xml:space="preserve"> אצל הצופה</w:t>
      </w:r>
      <w:r w:rsidRPr="00E93FCB">
        <w:rPr>
          <w:rFonts w:hint="cs"/>
          <w:rtl/>
        </w:rPr>
        <w:t xml:space="preserve">. </w:t>
      </w:r>
      <w:r w:rsidR="00DC3690" w:rsidRPr="00E93FCB">
        <w:rPr>
          <w:rFonts w:hint="cs"/>
          <w:rtl/>
        </w:rPr>
        <w:t xml:space="preserve">אולם, ההגדרה של פורנוגרפיה </w:t>
      </w:r>
      <w:r w:rsidRPr="00E93FCB">
        <w:rPr>
          <w:rFonts w:hint="cs"/>
          <w:rtl/>
        </w:rPr>
        <w:t>שנויה במחלוקת. בהקשר זה</w:t>
      </w:r>
      <w:r w:rsidR="00DC3690" w:rsidRPr="00E93FCB">
        <w:rPr>
          <w:rFonts w:hint="cs"/>
          <w:rtl/>
        </w:rPr>
        <w:t>,</w:t>
      </w:r>
      <w:r w:rsidRPr="00E93FCB">
        <w:rPr>
          <w:rFonts w:hint="cs"/>
          <w:rtl/>
        </w:rPr>
        <w:t xml:space="preserve"> שופט בית המשפט העליון בארה"ב</w:t>
      </w:r>
      <w:r w:rsidR="00F20959" w:rsidRPr="00E93FCB">
        <w:rPr>
          <w:rFonts w:hint="cs"/>
          <w:rtl/>
        </w:rPr>
        <w:t>, השופט</w:t>
      </w:r>
      <w:r w:rsidRPr="00E93FCB">
        <w:rPr>
          <w:rFonts w:hint="cs"/>
          <w:rtl/>
        </w:rPr>
        <w:t xml:space="preserve"> </w:t>
      </w:r>
      <w:hyperlink r:id="rId12" w:tooltip="פוטר סטיוארט (הדף אינו קיים)" w:history="1">
        <w:r w:rsidRPr="00E93FCB">
          <w:rPr>
            <w:rStyle w:val="Hyperlink"/>
            <w:rFonts w:hint="cs"/>
            <w:rtl/>
          </w:rPr>
          <w:t>פוטר סטיוארט</w:t>
        </w:r>
      </w:hyperlink>
      <w:r w:rsidRPr="00E93FCB">
        <w:rPr>
          <w:rFonts w:hint="cs"/>
          <w:rtl/>
        </w:rPr>
        <w:t xml:space="preserve">, עוקף </w:t>
      </w:r>
      <w:r w:rsidR="00DC3690" w:rsidRPr="00E93FCB">
        <w:rPr>
          <w:rFonts w:hint="cs"/>
          <w:rtl/>
        </w:rPr>
        <w:t>מחלוקת זו</w:t>
      </w:r>
      <w:r w:rsidR="00652CF8" w:rsidRPr="00E93FCB">
        <w:rPr>
          <w:rFonts w:hint="cs"/>
          <w:rtl/>
        </w:rPr>
        <w:t>,</w:t>
      </w:r>
      <w:r w:rsidRPr="00E93FCB">
        <w:rPr>
          <w:rFonts w:hint="cs"/>
          <w:rtl/>
        </w:rPr>
        <w:t xml:space="preserve"> כאשר בפסק דין משנת 1964 כתב: </w:t>
      </w:r>
      <w:r w:rsidR="00F20959" w:rsidRPr="00E93FCB">
        <w:rPr>
          <w:rFonts w:hint="cs"/>
          <w:rtl/>
        </w:rPr>
        <w:t>"</w:t>
      </w:r>
      <w:r w:rsidRPr="00E93FCB">
        <w:rPr>
          <w:rFonts w:hint="cs"/>
          <w:rtl/>
        </w:rPr>
        <w:t>לא אטרח עוד להגדיר פורנוגרפיה, אבל אני מזהה אותה כאשר אני רואה אותה".</w:t>
      </w:r>
    </w:p>
    <w:p w:rsidR="008F67BD" w:rsidRPr="00C25C6B" w:rsidRDefault="00C25C6B" w:rsidP="00C25C6B">
      <w:pPr>
        <w:pStyle w:val="Hesber"/>
        <w:rPr>
          <w:rtl/>
        </w:rPr>
      </w:pPr>
      <w:r w:rsidRPr="00C25C6B">
        <w:t xml:space="preserve">    </w:t>
      </w:r>
      <w:r w:rsidR="008F67BD" w:rsidRPr="00C25C6B">
        <w:rPr>
          <w:rFonts w:hint="cs"/>
          <w:rtl/>
        </w:rPr>
        <w:t xml:space="preserve">טבעה של המרשתת מבוסס על חופש הביטוי ובפרט </w:t>
      </w:r>
      <w:r w:rsidR="00DC3690" w:rsidRPr="00C25C6B">
        <w:rPr>
          <w:rFonts w:hint="cs"/>
          <w:rtl/>
        </w:rPr>
        <w:t xml:space="preserve">על </w:t>
      </w:r>
      <w:r w:rsidR="008F67BD" w:rsidRPr="00C25C6B">
        <w:rPr>
          <w:rFonts w:hint="cs"/>
          <w:rtl/>
        </w:rPr>
        <w:t>חופש המידע</w:t>
      </w:r>
      <w:r w:rsidR="00DC3690" w:rsidRPr="00C25C6B">
        <w:rPr>
          <w:rFonts w:hint="cs"/>
          <w:rtl/>
        </w:rPr>
        <w:t>.</w:t>
      </w:r>
      <w:r w:rsidR="008F67BD" w:rsidRPr="00C25C6B">
        <w:rPr>
          <w:rFonts w:hint="cs"/>
          <w:rtl/>
        </w:rPr>
        <w:t xml:space="preserve"> </w:t>
      </w:r>
      <w:r w:rsidR="00DC3690" w:rsidRPr="00C25C6B">
        <w:rPr>
          <w:rFonts w:hint="cs"/>
          <w:rtl/>
        </w:rPr>
        <w:t xml:space="preserve">זאת </w:t>
      </w:r>
      <w:r w:rsidR="008F67BD" w:rsidRPr="00C25C6B">
        <w:rPr>
          <w:rFonts w:hint="cs"/>
          <w:rtl/>
        </w:rPr>
        <w:t xml:space="preserve">בשל המגוון העצום של </w:t>
      </w:r>
      <w:r w:rsidR="00DC3690" w:rsidRPr="00C25C6B">
        <w:rPr>
          <w:rFonts w:hint="cs"/>
          <w:rtl/>
        </w:rPr>
        <w:t>המידע ו</w:t>
      </w:r>
      <w:r w:rsidR="008F67BD" w:rsidRPr="00C25C6B">
        <w:rPr>
          <w:rFonts w:hint="cs"/>
          <w:rtl/>
        </w:rPr>
        <w:t>הביטויים שה</w:t>
      </w:r>
      <w:r w:rsidR="00DC3690" w:rsidRPr="00C25C6B">
        <w:rPr>
          <w:rFonts w:hint="cs"/>
          <w:rtl/>
        </w:rPr>
        <w:t>יא</w:t>
      </w:r>
      <w:r w:rsidR="008F67BD" w:rsidRPr="00C25C6B">
        <w:rPr>
          <w:rFonts w:hint="cs"/>
          <w:rtl/>
        </w:rPr>
        <w:t xml:space="preserve"> כולל</w:t>
      </w:r>
      <w:r w:rsidR="00DC3690" w:rsidRPr="00C25C6B">
        <w:rPr>
          <w:rFonts w:hint="cs"/>
          <w:rtl/>
        </w:rPr>
        <w:t>ת</w:t>
      </w:r>
      <w:r w:rsidR="008F67BD" w:rsidRPr="00C25C6B">
        <w:rPr>
          <w:rFonts w:hint="cs"/>
          <w:rtl/>
        </w:rPr>
        <w:t xml:space="preserve"> ובשל האפשרו</w:t>
      </w:r>
      <w:r w:rsidR="00DC3690" w:rsidRPr="00C25C6B">
        <w:rPr>
          <w:rFonts w:hint="cs"/>
          <w:rtl/>
        </w:rPr>
        <w:t>יו</w:t>
      </w:r>
      <w:r w:rsidR="008F67BD" w:rsidRPr="00C25C6B">
        <w:rPr>
          <w:rFonts w:hint="cs"/>
          <w:rtl/>
        </w:rPr>
        <w:t xml:space="preserve">ת </w:t>
      </w:r>
      <w:r w:rsidR="00DC3690" w:rsidRPr="00C25C6B">
        <w:rPr>
          <w:rFonts w:hint="cs"/>
          <w:rtl/>
        </w:rPr>
        <w:t xml:space="preserve">הרבות </w:t>
      </w:r>
      <w:r w:rsidR="008F67BD" w:rsidRPr="00C25C6B">
        <w:rPr>
          <w:rFonts w:hint="cs"/>
          <w:rtl/>
        </w:rPr>
        <w:t>שה</w:t>
      </w:r>
      <w:r w:rsidR="00DC3690" w:rsidRPr="00C25C6B">
        <w:rPr>
          <w:rFonts w:hint="cs"/>
          <w:rtl/>
        </w:rPr>
        <w:t>יא</w:t>
      </w:r>
      <w:r w:rsidR="008F67BD" w:rsidRPr="00C25C6B">
        <w:rPr>
          <w:rFonts w:hint="cs"/>
          <w:rtl/>
        </w:rPr>
        <w:t xml:space="preserve"> מעניק</w:t>
      </w:r>
      <w:r w:rsidR="00DC3690" w:rsidRPr="00C25C6B">
        <w:rPr>
          <w:rFonts w:hint="cs"/>
          <w:rtl/>
        </w:rPr>
        <w:t>ה</w:t>
      </w:r>
      <w:r w:rsidR="008F67BD" w:rsidRPr="00C25C6B">
        <w:rPr>
          <w:rFonts w:hint="cs"/>
          <w:rtl/>
        </w:rPr>
        <w:t xml:space="preserve"> לאנשים להתבטא</w:t>
      </w:r>
      <w:r w:rsidR="00DC3690" w:rsidRPr="00C25C6B">
        <w:rPr>
          <w:rFonts w:hint="cs"/>
          <w:rtl/>
        </w:rPr>
        <w:t>.</w:t>
      </w:r>
      <w:r w:rsidR="008F67BD" w:rsidRPr="00C25C6B">
        <w:rPr>
          <w:rFonts w:hint="cs"/>
          <w:rtl/>
        </w:rPr>
        <w:t xml:space="preserve"> העובדה כי לקטינים נגישות מלאה לתכנים </w:t>
      </w:r>
      <w:r w:rsidR="00652CF8" w:rsidRPr="00C25C6B">
        <w:rPr>
          <w:rFonts w:hint="cs"/>
          <w:rtl/>
        </w:rPr>
        <w:t>פורנוגרפיים</w:t>
      </w:r>
      <w:r w:rsidR="008F67BD" w:rsidRPr="00C25C6B">
        <w:rPr>
          <w:rFonts w:hint="cs"/>
          <w:rtl/>
        </w:rPr>
        <w:t xml:space="preserve"> בהקלדה פשוטה במנועי החיפוש</w:t>
      </w:r>
      <w:r w:rsidR="00DC3690" w:rsidRPr="00C25C6B">
        <w:rPr>
          <w:rFonts w:hint="cs"/>
          <w:rtl/>
        </w:rPr>
        <w:t xml:space="preserve">, </w:t>
      </w:r>
      <w:r w:rsidR="008F67BD" w:rsidRPr="00C25C6B">
        <w:rPr>
          <w:rFonts w:hint="cs"/>
          <w:rtl/>
        </w:rPr>
        <w:t>אם במכוון ואם לא</w:t>
      </w:r>
      <w:r w:rsidR="00DC3690" w:rsidRPr="00C25C6B">
        <w:rPr>
          <w:rFonts w:hint="cs"/>
          <w:rtl/>
        </w:rPr>
        <w:t>ו</w:t>
      </w:r>
      <w:r w:rsidR="008F67BD" w:rsidRPr="00C25C6B">
        <w:rPr>
          <w:rFonts w:hint="cs"/>
          <w:rtl/>
        </w:rPr>
        <w:t>, מהווה פגיעה חמורה ובעלת השפעה מזיקה על קטינים.</w:t>
      </w:r>
    </w:p>
    <w:p w:rsidR="008F67BD" w:rsidRPr="00C25C6B" w:rsidRDefault="00C25C6B" w:rsidP="00C25C6B">
      <w:pPr>
        <w:pStyle w:val="Hesber"/>
        <w:rPr>
          <w:rtl/>
        </w:rPr>
      </w:pPr>
      <w:r w:rsidRPr="00C25C6B">
        <w:rPr>
          <w:rFonts w:hint="cs"/>
          <w:rtl/>
        </w:rPr>
        <w:t xml:space="preserve">  </w:t>
      </w:r>
      <w:r w:rsidR="008F67BD" w:rsidRPr="00C25C6B">
        <w:rPr>
          <w:rFonts w:hint="cs"/>
          <w:rtl/>
        </w:rPr>
        <w:t>הצעת חוק זו מבקשת להדגיש את החומרה והנזק הגלומים בחשיפת תכנים פורנוגרפיים לילדים ו</w:t>
      </w:r>
      <w:r w:rsidR="00F20959" w:rsidRPr="00C25C6B">
        <w:rPr>
          <w:rFonts w:hint="cs"/>
          <w:rtl/>
        </w:rPr>
        <w:t>ל</w:t>
      </w:r>
      <w:r w:rsidR="008F67BD" w:rsidRPr="00C25C6B">
        <w:rPr>
          <w:rFonts w:hint="cs"/>
          <w:rtl/>
        </w:rPr>
        <w:t xml:space="preserve">נוער. הפורנוגרפיה </w:t>
      </w:r>
      <w:r w:rsidR="00652CF8" w:rsidRPr="00C25C6B">
        <w:rPr>
          <w:rFonts w:hint="cs"/>
          <w:rtl/>
        </w:rPr>
        <w:t xml:space="preserve">שמציגה סקס, ולרוב בהקשר של נשים, </w:t>
      </w:r>
      <w:r w:rsidR="008F67BD" w:rsidRPr="00C25C6B">
        <w:rPr>
          <w:rFonts w:hint="cs"/>
          <w:rtl/>
        </w:rPr>
        <w:t xml:space="preserve">מציגה מין בצורה כזו שמשפיעה על הצופה ומקדמת עמדות נגד נשים. במדינת ישראל המבקשת למצב עצמה כמדינה מערבית נאורה לא תיתכן חשיפה בלתי מבוקרת לחומרים המתארים נשים כקבוצה של אובייקטים לניצול וסיפוק מיני גרידא. יתרה מזאת, לפורנוגרפיה השפעה שלילית על תחושת הערך העצמי והקבלה החברתית של האינדיבידואל. </w:t>
      </w:r>
    </w:p>
    <w:p w:rsidR="00C25C6B" w:rsidRDefault="008F67BD" w:rsidP="00C25C6B">
      <w:pPr>
        <w:pStyle w:val="Hesber"/>
        <w:rPr>
          <w:rtl/>
        </w:rPr>
      </w:pPr>
      <w:r w:rsidRPr="00C25C6B">
        <w:rPr>
          <w:rFonts w:hint="cs"/>
          <w:rtl/>
        </w:rPr>
        <w:t>דבריו של נשיא בית המשפט העליון לשעבר, השופט אהרון ברק, באומרו כי ניתן להצדיק הגבלה של ביטוי פורנוגרפי שיכול לפגוע במישרין ובעקיפין במעמד השוויוני של האישה בחברה הישראלית ו</w:t>
      </w:r>
      <w:r w:rsidR="00DC3690" w:rsidRPr="00C25C6B">
        <w:rPr>
          <w:rFonts w:hint="cs"/>
          <w:rtl/>
        </w:rPr>
        <w:t>ל</w:t>
      </w:r>
      <w:r w:rsidRPr="00C25C6B">
        <w:rPr>
          <w:rFonts w:hint="cs"/>
          <w:rtl/>
        </w:rPr>
        <w:t>עודד אלימות בכלל ואלימות נגד נשים בפרט</w:t>
      </w:r>
      <w:r w:rsidR="00F20959" w:rsidRPr="00C25C6B">
        <w:rPr>
          <w:rFonts w:hint="cs"/>
          <w:rtl/>
        </w:rPr>
        <w:t>, מעניקים משנה תוקף להצעת חוק זו</w:t>
      </w:r>
      <w:r w:rsidRPr="00C25C6B">
        <w:rPr>
          <w:rFonts w:hint="cs"/>
          <w:rtl/>
        </w:rPr>
        <w:t>.</w:t>
      </w:r>
    </w:p>
    <w:p w:rsidR="008F67BD" w:rsidRPr="00C25C6B" w:rsidRDefault="008F67BD" w:rsidP="00C25C6B">
      <w:pPr>
        <w:pStyle w:val="Hesber"/>
        <w:rPr>
          <w:rtl/>
        </w:rPr>
      </w:pPr>
      <w:r w:rsidRPr="00C25C6B">
        <w:rPr>
          <w:rFonts w:hint="cs"/>
          <w:rtl/>
        </w:rPr>
        <w:t>חשוב להבהיר כי ביטויים פורנוגרפיים אינם עוסקים בפגיעה ברגשות הציבור, אלא מזיקים באופן קונקרטי לקטינים שנחשפים אליהם</w:t>
      </w:r>
      <w:r w:rsidR="00DC3690" w:rsidRPr="00C25C6B">
        <w:rPr>
          <w:rFonts w:hint="cs"/>
          <w:rtl/>
        </w:rPr>
        <w:t>.</w:t>
      </w:r>
      <w:r w:rsidRPr="00C25C6B">
        <w:rPr>
          <w:rFonts w:hint="cs"/>
          <w:rtl/>
        </w:rPr>
        <w:t xml:space="preserve"> </w:t>
      </w:r>
      <w:r w:rsidR="00DC3690" w:rsidRPr="00C25C6B">
        <w:rPr>
          <w:rFonts w:hint="cs"/>
          <w:rtl/>
        </w:rPr>
        <w:t>זאת משום ש</w:t>
      </w:r>
      <w:r w:rsidRPr="00C25C6B">
        <w:rPr>
          <w:rFonts w:hint="cs"/>
          <w:rtl/>
        </w:rPr>
        <w:t xml:space="preserve">הפורנוגרפיה מספקת לקטינים תפיסה מעוותת לגבי מערכות יחסים בין המינים, ולגבי מעמד הנשים והגברים באשר הם. מאות מחקרים בארץ ובעולם בוחנים את הפגיעה </w:t>
      </w:r>
      <w:r w:rsidR="009E0BBE" w:rsidRPr="00C25C6B">
        <w:rPr>
          <w:rFonts w:hint="cs"/>
          <w:rtl/>
        </w:rPr>
        <w:t xml:space="preserve">הנגרמת מחשיפה לתכנים מיניים ופוגעניים ברשת האינטרנט </w:t>
      </w:r>
      <w:r w:rsidRPr="00C25C6B">
        <w:rPr>
          <w:rFonts w:hint="cs"/>
          <w:rtl/>
        </w:rPr>
        <w:t>ו</w:t>
      </w:r>
      <w:r w:rsidR="00DC3690" w:rsidRPr="00C25C6B">
        <w:rPr>
          <w:rFonts w:hint="cs"/>
          <w:rtl/>
        </w:rPr>
        <w:t xml:space="preserve">את </w:t>
      </w:r>
      <w:r w:rsidRPr="00C25C6B">
        <w:rPr>
          <w:rFonts w:hint="cs"/>
          <w:rtl/>
        </w:rPr>
        <w:t>השפעותיה לטווח ארוך. בדיוני</w:t>
      </w:r>
      <w:r w:rsidR="009E0BBE" w:rsidRPr="00C25C6B">
        <w:rPr>
          <w:rFonts w:hint="cs"/>
          <w:rtl/>
        </w:rPr>
        <w:t>ם שהתקיימו</w:t>
      </w:r>
      <w:r w:rsidRPr="00C25C6B">
        <w:rPr>
          <w:rFonts w:hint="cs"/>
          <w:rtl/>
        </w:rPr>
        <w:t xml:space="preserve"> בנושא עלה כי 60% מהילדים בישראל </w:t>
      </w:r>
      <w:r w:rsidR="009E0BBE" w:rsidRPr="00C25C6B">
        <w:rPr>
          <w:rFonts w:hint="cs"/>
          <w:rtl/>
        </w:rPr>
        <w:t xml:space="preserve">בגילאים תשע עד חמש-עשרה </w:t>
      </w:r>
      <w:r w:rsidRPr="00C25C6B">
        <w:rPr>
          <w:rFonts w:hint="cs"/>
          <w:rtl/>
        </w:rPr>
        <w:t xml:space="preserve">גולשים באתרים פורנוגרפיים. עוד עולה כי לכ-47% מהילדים בישראל </w:t>
      </w:r>
      <w:r w:rsidR="009E0BBE" w:rsidRPr="00C25C6B">
        <w:rPr>
          <w:rFonts w:hint="cs"/>
          <w:rtl/>
        </w:rPr>
        <w:t xml:space="preserve">באותם גילאים </w:t>
      </w:r>
      <w:r w:rsidRPr="00C25C6B">
        <w:rPr>
          <w:rFonts w:hint="cs"/>
          <w:rtl/>
        </w:rPr>
        <w:t xml:space="preserve">יש בחדרם הפרטי </w:t>
      </w:r>
      <w:r w:rsidR="009E0BBE" w:rsidRPr="00C25C6B">
        <w:rPr>
          <w:rFonts w:hint="cs"/>
          <w:rtl/>
        </w:rPr>
        <w:t xml:space="preserve">מחשב, שבאמצעותו הם גולשים באינטרנט, </w:t>
      </w:r>
      <w:r w:rsidRPr="00C25C6B">
        <w:rPr>
          <w:rFonts w:hint="cs"/>
          <w:rtl/>
        </w:rPr>
        <w:t xml:space="preserve">כך שהסכנה ליפול קורבן לפדופילים גדלה משמעותית בשל העדר פיקוח מצד ההורים. כיום, חוק </w:t>
      </w:r>
      <w:r w:rsidR="009E0BBE" w:rsidRPr="00C25C6B">
        <w:rPr>
          <w:rFonts w:hint="cs"/>
          <w:rtl/>
        </w:rPr>
        <w:t xml:space="preserve">התקשורת (בזק ושידורים) </w:t>
      </w:r>
      <w:r w:rsidRPr="00C25C6B">
        <w:rPr>
          <w:rFonts w:hint="cs"/>
          <w:rtl/>
        </w:rPr>
        <w:t xml:space="preserve">והתקנות </w:t>
      </w:r>
      <w:r w:rsidR="009E0BBE" w:rsidRPr="00C25C6B">
        <w:rPr>
          <w:rFonts w:hint="cs"/>
          <w:rtl/>
        </w:rPr>
        <w:t xml:space="preserve">שהותקנו מכוחו </w:t>
      </w:r>
      <w:r w:rsidRPr="00C25C6B">
        <w:rPr>
          <w:rFonts w:hint="cs"/>
          <w:rtl/>
        </w:rPr>
        <w:t xml:space="preserve"> </w:t>
      </w:r>
      <w:r w:rsidR="009E0BBE" w:rsidRPr="00C25C6B">
        <w:rPr>
          <w:rFonts w:hint="cs"/>
          <w:rtl/>
        </w:rPr>
        <w:t xml:space="preserve">על ידי </w:t>
      </w:r>
      <w:r w:rsidRPr="00C25C6B">
        <w:rPr>
          <w:rFonts w:hint="cs"/>
          <w:rtl/>
        </w:rPr>
        <w:t>שר התקש</w:t>
      </w:r>
      <w:r w:rsidR="009E0BBE" w:rsidRPr="00C25C6B">
        <w:rPr>
          <w:rFonts w:hint="cs"/>
          <w:rtl/>
        </w:rPr>
        <w:t>ו</w:t>
      </w:r>
      <w:r w:rsidRPr="00C25C6B">
        <w:rPr>
          <w:rFonts w:hint="cs"/>
          <w:rtl/>
        </w:rPr>
        <w:t>רת מחייבים את ספקי הגישה לאינטרנט ל</w:t>
      </w:r>
      <w:r w:rsidR="009E0BBE" w:rsidRPr="00C25C6B">
        <w:rPr>
          <w:rFonts w:hint="cs"/>
          <w:rtl/>
        </w:rPr>
        <w:t>יידע</w:t>
      </w:r>
      <w:r w:rsidRPr="00C25C6B">
        <w:rPr>
          <w:rFonts w:hint="cs"/>
          <w:rtl/>
        </w:rPr>
        <w:t xml:space="preserve"> </w:t>
      </w:r>
      <w:r w:rsidR="009E0BBE" w:rsidRPr="00C25C6B">
        <w:rPr>
          <w:rFonts w:hint="cs"/>
          <w:rtl/>
        </w:rPr>
        <w:t>את ה</w:t>
      </w:r>
      <w:r w:rsidRPr="00C25C6B">
        <w:rPr>
          <w:rFonts w:hint="cs"/>
          <w:rtl/>
        </w:rPr>
        <w:t xml:space="preserve">מנויים </w:t>
      </w:r>
      <w:r w:rsidR="009E0BBE" w:rsidRPr="00C25C6B">
        <w:rPr>
          <w:rFonts w:hint="cs"/>
          <w:rtl/>
        </w:rPr>
        <w:t xml:space="preserve">בדבר אתרים פוגעניים ותכנים פוגעניים באינטרנט וכן בדבר אפשרויות ההגנה מפניהם (כגון אפשרויות לסינון אתרים אותן מציע הספק למנויים), בין היתר באמצעות שליחת </w:t>
      </w:r>
      <w:r w:rsidRPr="00C25C6B">
        <w:rPr>
          <w:rFonts w:hint="cs"/>
          <w:rtl/>
        </w:rPr>
        <w:t xml:space="preserve">עלון </w:t>
      </w:r>
      <w:r w:rsidR="009E0BBE" w:rsidRPr="00C25C6B">
        <w:rPr>
          <w:rFonts w:hint="cs"/>
          <w:rtl/>
        </w:rPr>
        <w:t>בדואר ופרסום המידע באתר האינטרנט של הספק</w:t>
      </w:r>
      <w:r w:rsidRPr="00C25C6B">
        <w:rPr>
          <w:rFonts w:hint="cs"/>
          <w:rtl/>
        </w:rPr>
        <w:t>. על אף זאת, מנויים רבים כלל לא מודעים ל</w:t>
      </w:r>
      <w:r w:rsidR="009E0BBE" w:rsidRPr="00C25C6B">
        <w:rPr>
          <w:rFonts w:hint="cs"/>
          <w:rtl/>
        </w:rPr>
        <w:t>קיומם של שירותי</w:t>
      </w:r>
      <w:r w:rsidRPr="00C25C6B">
        <w:rPr>
          <w:rFonts w:hint="cs"/>
          <w:rtl/>
        </w:rPr>
        <w:t xml:space="preserve"> סינון אתרי אינטרנט. על כן, </w:t>
      </w:r>
      <w:bookmarkStart w:id="7" w:name="ABSTRACT_START"/>
      <w:bookmarkEnd w:id="7"/>
      <w:r w:rsidRPr="00C25C6B">
        <w:rPr>
          <w:rFonts w:hint="cs"/>
          <w:rtl/>
        </w:rPr>
        <w:t>מוצע ל</w:t>
      </w:r>
      <w:r w:rsidR="00D5286D" w:rsidRPr="00C25C6B">
        <w:rPr>
          <w:rFonts w:hint="cs"/>
          <w:rtl/>
        </w:rPr>
        <w:t>חייב</w:t>
      </w:r>
      <w:r w:rsidRPr="00C25C6B">
        <w:rPr>
          <w:rFonts w:hint="cs"/>
          <w:rtl/>
        </w:rPr>
        <w:t xml:space="preserve"> </w:t>
      </w:r>
      <w:r w:rsidR="00D5286D" w:rsidRPr="00C25C6B">
        <w:rPr>
          <w:rFonts w:hint="cs"/>
          <w:rtl/>
        </w:rPr>
        <w:t xml:space="preserve">את </w:t>
      </w:r>
      <w:r w:rsidRPr="00C25C6B">
        <w:rPr>
          <w:rFonts w:hint="cs"/>
          <w:rtl/>
        </w:rPr>
        <w:t>ספקי ה</w:t>
      </w:r>
      <w:r w:rsidR="00D5286D" w:rsidRPr="00C25C6B">
        <w:rPr>
          <w:rFonts w:hint="cs"/>
          <w:rtl/>
        </w:rPr>
        <w:t>גישה ל</w:t>
      </w:r>
      <w:r w:rsidRPr="00C25C6B">
        <w:rPr>
          <w:rFonts w:hint="cs"/>
          <w:rtl/>
        </w:rPr>
        <w:t xml:space="preserve">אינטרנט </w:t>
      </w:r>
      <w:r w:rsidR="00D5286D" w:rsidRPr="00C25C6B">
        <w:rPr>
          <w:rFonts w:hint="cs"/>
          <w:rtl/>
        </w:rPr>
        <w:t>ל</w:t>
      </w:r>
      <w:r w:rsidRPr="00C25C6B">
        <w:rPr>
          <w:rFonts w:hint="cs"/>
          <w:rtl/>
        </w:rPr>
        <w:t>סנן תוכן פוגעני לכל המנויים</w:t>
      </w:r>
      <w:r w:rsidR="00D5286D" w:rsidRPr="00C25C6B">
        <w:rPr>
          <w:rFonts w:hint="cs"/>
          <w:rtl/>
        </w:rPr>
        <w:t>, ללא תוספת תשלום,</w:t>
      </w:r>
      <w:r w:rsidRPr="00C25C6B">
        <w:rPr>
          <w:rFonts w:hint="cs"/>
          <w:rtl/>
        </w:rPr>
        <w:t xml:space="preserve"> אלא אם </w:t>
      </w:r>
      <w:r w:rsidR="00D5286D" w:rsidRPr="00C25C6B">
        <w:rPr>
          <w:rFonts w:hint="cs"/>
          <w:rtl/>
        </w:rPr>
        <w:t xml:space="preserve">המנוי </w:t>
      </w:r>
      <w:r w:rsidRPr="00C25C6B">
        <w:rPr>
          <w:rFonts w:hint="cs"/>
          <w:rtl/>
        </w:rPr>
        <w:t xml:space="preserve">ביקש  בכתב </w:t>
      </w:r>
      <w:r w:rsidR="00D5286D" w:rsidRPr="00C25C6B">
        <w:rPr>
          <w:rFonts w:hint="cs"/>
          <w:rtl/>
        </w:rPr>
        <w:t xml:space="preserve">מהספק </w:t>
      </w:r>
      <w:r w:rsidRPr="00C25C6B">
        <w:rPr>
          <w:rFonts w:hint="cs"/>
          <w:rtl/>
        </w:rPr>
        <w:t xml:space="preserve">שלא לחסום </w:t>
      </w:r>
      <w:r w:rsidR="00D5286D" w:rsidRPr="00C25C6B">
        <w:rPr>
          <w:rFonts w:hint="cs"/>
          <w:rtl/>
        </w:rPr>
        <w:t xml:space="preserve">עבורו </w:t>
      </w:r>
      <w:r w:rsidRPr="00C25C6B">
        <w:rPr>
          <w:rFonts w:hint="cs"/>
          <w:rtl/>
        </w:rPr>
        <w:t>אתרים פוגעניים כאמור.</w:t>
      </w:r>
    </w:p>
    <w:p w:rsidR="008F67BD" w:rsidRPr="00C25C6B" w:rsidRDefault="008F67BD" w:rsidP="00C25C6B">
      <w:pPr>
        <w:pStyle w:val="Hesber"/>
        <w:rPr>
          <w:rtl/>
        </w:rPr>
      </w:pPr>
      <w:r w:rsidRPr="00C25C6B">
        <w:rPr>
          <w:rFonts w:hint="cs"/>
          <w:rtl/>
        </w:rPr>
        <w:t>כמו כן</w:t>
      </w:r>
      <w:r w:rsidR="00D5286D" w:rsidRPr="00C25C6B">
        <w:rPr>
          <w:rFonts w:hint="cs"/>
          <w:rtl/>
        </w:rPr>
        <w:t>,</w:t>
      </w:r>
      <w:r w:rsidRPr="00C25C6B">
        <w:rPr>
          <w:rFonts w:hint="cs"/>
          <w:rtl/>
        </w:rPr>
        <w:t xml:space="preserve"> </w:t>
      </w:r>
      <w:r w:rsidR="00D5286D" w:rsidRPr="00C25C6B">
        <w:rPr>
          <w:rFonts w:hint="cs"/>
          <w:rtl/>
        </w:rPr>
        <w:t>מוצע</w:t>
      </w:r>
      <w:r w:rsidRPr="00C25C6B">
        <w:rPr>
          <w:rFonts w:hint="cs"/>
          <w:rtl/>
        </w:rPr>
        <w:t xml:space="preserve"> לחייב את ספקי הגישה לאינטרנט ליידע את </w:t>
      </w:r>
      <w:r w:rsidR="00D5286D" w:rsidRPr="00C25C6B">
        <w:rPr>
          <w:rFonts w:hint="cs"/>
          <w:rtl/>
        </w:rPr>
        <w:t>ה</w:t>
      </w:r>
      <w:r w:rsidRPr="00C25C6B">
        <w:rPr>
          <w:rFonts w:hint="cs"/>
          <w:rtl/>
        </w:rPr>
        <w:t xml:space="preserve">מנויים בדבר </w:t>
      </w:r>
      <w:r w:rsidR="00D5286D" w:rsidRPr="00C25C6B">
        <w:rPr>
          <w:rFonts w:hint="cs"/>
          <w:rtl/>
        </w:rPr>
        <w:t xml:space="preserve">אתרים פוגעניים ותכנים פוגעניים באינטרנט וכן על אפשרויות ההגנה מפניהם, כאמור לעיל, </w:t>
      </w:r>
      <w:r w:rsidR="00AC4647" w:rsidRPr="00C25C6B">
        <w:rPr>
          <w:rFonts w:hint="cs"/>
          <w:rtl/>
        </w:rPr>
        <w:t xml:space="preserve">גם </w:t>
      </w:r>
      <w:r w:rsidR="00D5286D" w:rsidRPr="00C25C6B">
        <w:rPr>
          <w:rFonts w:hint="cs"/>
          <w:rtl/>
        </w:rPr>
        <w:t>באמצעות שיחה טלפונית.</w:t>
      </w:r>
      <w:bookmarkStart w:id="8" w:name="ABSTRACT_END"/>
      <w:bookmarkEnd w:id="8"/>
      <w:r w:rsidRPr="00C25C6B">
        <w:rPr>
          <w:rFonts w:hint="cs"/>
          <w:rtl/>
        </w:rPr>
        <w:t xml:space="preserve"> </w:t>
      </w:r>
    </w:p>
    <w:p w:rsidR="008F67BD" w:rsidRPr="00C25C6B" w:rsidRDefault="008F67BD" w:rsidP="00C25C6B">
      <w:pPr>
        <w:pStyle w:val="Hesber"/>
        <w:rPr>
          <w:rtl/>
        </w:rPr>
      </w:pPr>
      <w:r w:rsidRPr="00C25C6B">
        <w:rPr>
          <w:rFonts w:hint="cs"/>
          <w:rtl/>
        </w:rPr>
        <w:t>הצע</w:t>
      </w:r>
      <w:r w:rsidR="00A07D2B" w:rsidRPr="00C25C6B">
        <w:rPr>
          <w:rFonts w:hint="cs"/>
          <w:rtl/>
        </w:rPr>
        <w:t>ו</w:t>
      </w:r>
      <w:r w:rsidRPr="00C25C6B">
        <w:rPr>
          <w:rFonts w:hint="cs"/>
          <w:rtl/>
        </w:rPr>
        <w:t>ת חוק דומ</w:t>
      </w:r>
      <w:r w:rsidR="00A07D2B" w:rsidRPr="00C25C6B">
        <w:rPr>
          <w:rFonts w:hint="cs"/>
          <w:rtl/>
        </w:rPr>
        <w:t>ות</w:t>
      </w:r>
      <w:r w:rsidRPr="00C25C6B">
        <w:rPr>
          <w:rFonts w:hint="cs"/>
          <w:rtl/>
        </w:rPr>
        <w:t xml:space="preserve"> בעיקר</w:t>
      </w:r>
      <w:r w:rsidR="00A07D2B" w:rsidRPr="00C25C6B">
        <w:rPr>
          <w:rFonts w:hint="cs"/>
          <w:rtl/>
        </w:rPr>
        <w:t>ן</w:t>
      </w:r>
      <w:r w:rsidRPr="00C25C6B">
        <w:rPr>
          <w:rFonts w:hint="cs"/>
          <w:rtl/>
        </w:rPr>
        <w:t xml:space="preserve"> הונח</w:t>
      </w:r>
      <w:r w:rsidR="00A07D2B" w:rsidRPr="00C25C6B">
        <w:rPr>
          <w:rFonts w:hint="cs"/>
          <w:rtl/>
        </w:rPr>
        <w:t>ו</w:t>
      </w:r>
      <w:r w:rsidRPr="00C25C6B">
        <w:rPr>
          <w:rFonts w:hint="cs"/>
          <w:rtl/>
        </w:rPr>
        <w:t xml:space="preserve"> על ש</w:t>
      </w:r>
      <w:r w:rsidR="00A07D2B" w:rsidRPr="00C25C6B">
        <w:rPr>
          <w:rFonts w:hint="cs"/>
          <w:rtl/>
        </w:rPr>
        <w:t>ו</w:t>
      </w:r>
      <w:r w:rsidRPr="00C25C6B">
        <w:rPr>
          <w:rFonts w:hint="cs"/>
          <w:rtl/>
        </w:rPr>
        <w:t>לחן הכנסת השמונה-עשרה על ידי חברת הכנסת ליה שמטוב (פ/4457/18)</w:t>
      </w:r>
      <w:r w:rsidR="00A07D2B" w:rsidRPr="00C25C6B">
        <w:rPr>
          <w:rFonts w:hint="cs"/>
          <w:rtl/>
        </w:rPr>
        <w:t xml:space="preserve"> ועל שולחן הכנסת התשע-עשרה על ידי חברי הכנסת אמנון כהן ואברהם מיכאלי (פ/1111/19; הוסרה מסדר היום ביום י"א בתמוז התשע"ג (19 ביוני 2013))</w:t>
      </w:r>
      <w:r w:rsidR="00DC3690" w:rsidRPr="00C25C6B">
        <w:rPr>
          <w:rFonts w:hint="cs"/>
          <w:rtl/>
        </w:rPr>
        <w:t xml:space="preserve"> ועל ידי חברת הכנסת אורלי לוי אבקסיס וקבוצת חברי הכנסת (פ/1733/19)</w:t>
      </w:r>
      <w:r w:rsidRPr="00C25C6B">
        <w:rPr>
          <w:rFonts w:hint="cs"/>
          <w:rtl/>
        </w:rPr>
        <w:t>.</w:t>
      </w:r>
    </w:p>
    <w:p w:rsidR="008F67BD" w:rsidRPr="00E93FCB" w:rsidRDefault="008F67BD" w:rsidP="00E93FCB">
      <w:pPr>
        <w:pStyle w:val="Hesber"/>
        <w:rPr>
          <w:rtl/>
        </w:rPr>
      </w:pPr>
    </w:p>
    <w:p w:rsidR="00E93FCB" w:rsidRPr="00E93FCB" w:rsidRDefault="00E93FCB" w:rsidP="00E93FCB">
      <w:pPr>
        <w:ind w:left="340"/>
        <w:rPr>
          <w:rFonts w:ascii="Arial" w:eastAsia="Arial Unicode MS" w:hAnsi="Arial" w:cs="David"/>
          <w:snapToGrid w:val="0"/>
          <w:sz w:val="20"/>
          <w:szCs w:val="26"/>
        </w:rPr>
      </w:pPr>
      <w:r w:rsidRPr="00E93FCB">
        <w:rPr>
          <w:rFonts w:ascii="Arial" w:eastAsia="Arial Unicode MS" w:hAnsi="Arial" w:cs="David" w:hint="cs"/>
          <w:snapToGrid w:val="0"/>
          <w:sz w:val="20"/>
          <w:szCs w:val="26"/>
          <w:rtl/>
        </w:rPr>
        <w:t>---------------------------------</w:t>
      </w:r>
    </w:p>
    <w:p w:rsidR="00E93FCB" w:rsidRPr="00E93FCB" w:rsidRDefault="00E93FCB" w:rsidP="00E93FCB">
      <w:pPr>
        <w:ind w:left="340"/>
        <w:rPr>
          <w:rFonts w:ascii="Arial" w:eastAsia="Arial Unicode MS" w:hAnsi="Arial" w:cs="David"/>
          <w:snapToGrid w:val="0"/>
          <w:sz w:val="20"/>
          <w:szCs w:val="26"/>
        </w:rPr>
      </w:pPr>
      <w:r w:rsidRPr="00E93FCB">
        <w:rPr>
          <w:rFonts w:ascii="Arial" w:eastAsia="Arial Unicode MS" w:hAnsi="Arial" w:cs="David" w:hint="cs"/>
          <w:snapToGrid w:val="0"/>
          <w:sz w:val="20"/>
          <w:szCs w:val="26"/>
          <w:rtl/>
        </w:rPr>
        <w:t>הוגשה ליו"ר הכנסת והסגנים</w:t>
      </w:r>
    </w:p>
    <w:p w:rsidR="00E93FCB" w:rsidRPr="00E93FCB" w:rsidRDefault="00E93FCB" w:rsidP="00E93FCB">
      <w:pPr>
        <w:ind w:left="340"/>
        <w:rPr>
          <w:rFonts w:ascii="Arial" w:eastAsia="Arial Unicode MS" w:hAnsi="Arial" w:cs="David"/>
          <w:snapToGrid w:val="0"/>
          <w:sz w:val="20"/>
          <w:szCs w:val="26"/>
          <w:rtl/>
        </w:rPr>
      </w:pPr>
      <w:r w:rsidRPr="00E93FCB">
        <w:rPr>
          <w:rFonts w:ascii="Arial" w:eastAsia="Arial Unicode MS" w:hAnsi="Arial" w:cs="David" w:hint="cs"/>
          <w:snapToGrid w:val="0"/>
          <w:sz w:val="20"/>
          <w:szCs w:val="26"/>
          <w:rtl/>
        </w:rPr>
        <w:t>והונחה על שולחן הכנסת ביום</w:t>
      </w:r>
    </w:p>
    <w:p w:rsidR="00E13C27" w:rsidRDefault="00E93FCB" w:rsidP="00C25C6B">
      <w:pPr>
        <w:ind w:left="340"/>
        <w:rPr>
          <w:rtl/>
        </w:rPr>
      </w:pPr>
      <w:r w:rsidRPr="00E93FCB">
        <w:rPr>
          <w:rFonts w:ascii="Arial" w:eastAsia="Arial Unicode MS" w:hAnsi="Arial" w:cs="David" w:hint="cs"/>
          <w:snapToGrid w:val="0"/>
          <w:sz w:val="20"/>
          <w:szCs w:val="26"/>
          <w:rtl/>
        </w:rPr>
        <w:t>א' בכסלו התשע"ד– 4.11.13</w:t>
      </w:r>
    </w:p>
    <w:sectPr w:rsidR="00E13C27" w:rsidSect="001207F8">
      <w:footerReference w:type="even" r:id="rId13"/>
      <w:footerReference w:type="default" r:id="rId14"/>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0E" w:rsidRDefault="00A77A0E">
      <w:r>
        <w:separator/>
      </w:r>
    </w:p>
  </w:endnote>
  <w:endnote w:type="continuationSeparator" w:id="0">
    <w:p w:rsidR="00A77A0E" w:rsidRDefault="00A7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1A0623" w:rsidRDefault="001A06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23" w:rsidRDefault="001A0623" w:rsidP="001207F8">
    <w:pPr>
      <w:pStyle w:val="a9"/>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010BF2">
      <w:rPr>
        <w:rStyle w:val="ac"/>
        <w:noProof/>
        <w:rtl/>
      </w:rPr>
      <w:t>2</w:t>
    </w:r>
    <w:r>
      <w:rPr>
        <w:rStyle w:val="ac"/>
        <w:rtl/>
      </w:rPr>
      <w:fldChar w:fldCharType="end"/>
    </w:r>
  </w:p>
  <w:p w:rsidR="001A0623" w:rsidRDefault="001A06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0E" w:rsidRDefault="00A77A0E">
      <w:r>
        <w:separator/>
      </w:r>
    </w:p>
  </w:footnote>
  <w:footnote w:type="continuationSeparator" w:id="0">
    <w:p w:rsidR="00A77A0E" w:rsidRDefault="00A77A0E">
      <w:r>
        <w:continuationSeparator/>
      </w:r>
    </w:p>
  </w:footnote>
  <w:footnote w:type="continuationNotice" w:id="1">
    <w:p w:rsidR="00A77A0E" w:rsidRDefault="00A77A0E"/>
  </w:footnote>
  <w:footnote w:id="2">
    <w:p w:rsidR="008700D2" w:rsidRDefault="008700D2">
      <w:pPr>
        <w:pStyle w:val="a4"/>
        <w:rPr>
          <w:rtl/>
        </w:rPr>
      </w:pPr>
      <w:r>
        <w:rPr>
          <w:rStyle w:val="a6"/>
        </w:rPr>
        <w:footnoteRef/>
      </w:r>
      <w:r>
        <w:rPr>
          <w:rtl/>
        </w:rPr>
        <w:t xml:space="preserve"> ס"ח התשמ"ב, עמ' 218</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0F944FA"/>
    <w:multiLevelType w:val="hybridMultilevel"/>
    <w:tmpl w:val="F2A2B71E"/>
    <w:lvl w:ilvl="0" w:tplc="6DC820E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16426"/>
    <w:multiLevelType w:val="hybridMultilevel"/>
    <w:tmpl w:val="BEB83476"/>
    <w:lvl w:ilvl="0" w:tplc="361410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3985630B"/>
    <w:multiLevelType w:val="hybridMultilevel"/>
    <w:tmpl w:val="B1D276B6"/>
    <w:lvl w:ilvl="0" w:tplc="117ACF2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3C8C0C78"/>
    <w:multiLevelType w:val="hybridMultilevel"/>
    <w:tmpl w:val="B8D086D8"/>
    <w:lvl w:ilvl="0" w:tplc="1D5C943E">
      <w:start w:val="1"/>
      <w:numFmt w:val="hebrew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8037lsCopyOriginal.docx"/>
    <w:docVar w:name="StartMode" w:val="2"/>
  </w:docVars>
  <w:rsids>
    <w:rsidRoot w:val="00DB7060"/>
    <w:rsid w:val="00010BF2"/>
    <w:rsid w:val="00015B27"/>
    <w:rsid w:val="00046B40"/>
    <w:rsid w:val="00062927"/>
    <w:rsid w:val="00082A00"/>
    <w:rsid w:val="000A542E"/>
    <w:rsid w:val="000B6072"/>
    <w:rsid w:val="000D4490"/>
    <w:rsid w:val="00100446"/>
    <w:rsid w:val="001207F8"/>
    <w:rsid w:val="00121924"/>
    <w:rsid w:val="001279A8"/>
    <w:rsid w:val="0014195F"/>
    <w:rsid w:val="00142B4E"/>
    <w:rsid w:val="00152609"/>
    <w:rsid w:val="00153E1B"/>
    <w:rsid w:val="00170431"/>
    <w:rsid w:val="001A0623"/>
    <w:rsid w:val="001B15E1"/>
    <w:rsid w:val="001C23B0"/>
    <w:rsid w:val="001E0112"/>
    <w:rsid w:val="00201BEF"/>
    <w:rsid w:val="00203A7F"/>
    <w:rsid w:val="002200A1"/>
    <w:rsid w:val="002362BF"/>
    <w:rsid w:val="00241B97"/>
    <w:rsid w:val="00254605"/>
    <w:rsid w:val="00270292"/>
    <w:rsid w:val="002728B4"/>
    <w:rsid w:val="00292712"/>
    <w:rsid w:val="002C2E29"/>
    <w:rsid w:val="002C666E"/>
    <w:rsid w:val="003232A2"/>
    <w:rsid w:val="003710F6"/>
    <w:rsid w:val="00386327"/>
    <w:rsid w:val="00386CF0"/>
    <w:rsid w:val="00386E88"/>
    <w:rsid w:val="003949A1"/>
    <w:rsid w:val="003D6E00"/>
    <w:rsid w:val="003D74A0"/>
    <w:rsid w:val="004033D8"/>
    <w:rsid w:val="004074C5"/>
    <w:rsid w:val="004113A5"/>
    <w:rsid w:val="00427F9C"/>
    <w:rsid w:val="00491A25"/>
    <w:rsid w:val="004C2264"/>
    <w:rsid w:val="004D3876"/>
    <w:rsid w:val="004E4552"/>
    <w:rsid w:val="004F457E"/>
    <w:rsid w:val="004F52E4"/>
    <w:rsid w:val="00515D7C"/>
    <w:rsid w:val="00553C9D"/>
    <w:rsid w:val="005A5D7B"/>
    <w:rsid w:val="005B064E"/>
    <w:rsid w:val="005B2EC7"/>
    <w:rsid w:val="005D51AE"/>
    <w:rsid w:val="005E062E"/>
    <w:rsid w:val="00644940"/>
    <w:rsid w:val="006500A2"/>
    <w:rsid w:val="00652CF8"/>
    <w:rsid w:val="0066734F"/>
    <w:rsid w:val="006818A9"/>
    <w:rsid w:val="006A3253"/>
    <w:rsid w:val="006B521A"/>
    <w:rsid w:val="006C1D0D"/>
    <w:rsid w:val="006C4B62"/>
    <w:rsid w:val="006D6415"/>
    <w:rsid w:val="00702617"/>
    <w:rsid w:val="0070601E"/>
    <w:rsid w:val="0071128D"/>
    <w:rsid w:val="007152B5"/>
    <w:rsid w:val="007221F7"/>
    <w:rsid w:val="00724099"/>
    <w:rsid w:val="00765F66"/>
    <w:rsid w:val="007B38F1"/>
    <w:rsid w:val="007C3CC7"/>
    <w:rsid w:val="007D5A12"/>
    <w:rsid w:val="007E59F9"/>
    <w:rsid w:val="007F3BE8"/>
    <w:rsid w:val="00803A14"/>
    <w:rsid w:val="00810BCD"/>
    <w:rsid w:val="00812A96"/>
    <w:rsid w:val="00812C98"/>
    <w:rsid w:val="00814D92"/>
    <w:rsid w:val="00831EB4"/>
    <w:rsid w:val="00842A7A"/>
    <w:rsid w:val="00847AC4"/>
    <w:rsid w:val="008700D2"/>
    <w:rsid w:val="0087162F"/>
    <w:rsid w:val="008821D7"/>
    <w:rsid w:val="00892135"/>
    <w:rsid w:val="00895449"/>
    <w:rsid w:val="00897841"/>
    <w:rsid w:val="00897879"/>
    <w:rsid w:val="008A4954"/>
    <w:rsid w:val="008C2DDC"/>
    <w:rsid w:val="008F0D63"/>
    <w:rsid w:val="008F2C35"/>
    <w:rsid w:val="008F67BD"/>
    <w:rsid w:val="0091204F"/>
    <w:rsid w:val="009203DB"/>
    <w:rsid w:val="00926187"/>
    <w:rsid w:val="00936B28"/>
    <w:rsid w:val="0094333E"/>
    <w:rsid w:val="00943386"/>
    <w:rsid w:val="0095739B"/>
    <w:rsid w:val="00957589"/>
    <w:rsid w:val="00957CD6"/>
    <w:rsid w:val="00973184"/>
    <w:rsid w:val="00982412"/>
    <w:rsid w:val="009B1009"/>
    <w:rsid w:val="009B3ABC"/>
    <w:rsid w:val="009E0BBE"/>
    <w:rsid w:val="00A07D2B"/>
    <w:rsid w:val="00A26BD6"/>
    <w:rsid w:val="00A644D8"/>
    <w:rsid w:val="00A77A0E"/>
    <w:rsid w:val="00A82CB7"/>
    <w:rsid w:val="00A95C18"/>
    <w:rsid w:val="00A974DE"/>
    <w:rsid w:val="00AC36F7"/>
    <w:rsid w:val="00AC4647"/>
    <w:rsid w:val="00B0151C"/>
    <w:rsid w:val="00B14C31"/>
    <w:rsid w:val="00B35784"/>
    <w:rsid w:val="00B868C0"/>
    <w:rsid w:val="00B94541"/>
    <w:rsid w:val="00BB1CC8"/>
    <w:rsid w:val="00BC45FB"/>
    <w:rsid w:val="00BC567F"/>
    <w:rsid w:val="00C25C6B"/>
    <w:rsid w:val="00C9176A"/>
    <w:rsid w:val="00CA069A"/>
    <w:rsid w:val="00CD4C0B"/>
    <w:rsid w:val="00CF0EDD"/>
    <w:rsid w:val="00D018AF"/>
    <w:rsid w:val="00D137B8"/>
    <w:rsid w:val="00D33B53"/>
    <w:rsid w:val="00D35CDE"/>
    <w:rsid w:val="00D5286D"/>
    <w:rsid w:val="00D70C36"/>
    <w:rsid w:val="00D7736E"/>
    <w:rsid w:val="00D80949"/>
    <w:rsid w:val="00D84B60"/>
    <w:rsid w:val="00D867D7"/>
    <w:rsid w:val="00D92AC7"/>
    <w:rsid w:val="00DB6BCE"/>
    <w:rsid w:val="00DB7060"/>
    <w:rsid w:val="00DC3690"/>
    <w:rsid w:val="00DE3153"/>
    <w:rsid w:val="00DF4EBE"/>
    <w:rsid w:val="00E13C27"/>
    <w:rsid w:val="00E319F0"/>
    <w:rsid w:val="00E33BBD"/>
    <w:rsid w:val="00E43901"/>
    <w:rsid w:val="00E45103"/>
    <w:rsid w:val="00E52401"/>
    <w:rsid w:val="00E665B9"/>
    <w:rsid w:val="00E66ED0"/>
    <w:rsid w:val="00E879D7"/>
    <w:rsid w:val="00E93FCB"/>
    <w:rsid w:val="00EA01E6"/>
    <w:rsid w:val="00EA1ED3"/>
    <w:rsid w:val="00EA758F"/>
    <w:rsid w:val="00EC6C7B"/>
    <w:rsid w:val="00ED4A6F"/>
    <w:rsid w:val="00EF3A3A"/>
    <w:rsid w:val="00F017F1"/>
    <w:rsid w:val="00F15441"/>
    <w:rsid w:val="00F20959"/>
    <w:rsid w:val="00F3718D"/>
    <w:rsid w:val="00F42284"/>
    <w:rsid w:val="00F8447D"/>
    <w:rsid w:val="00FE6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D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A1ED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A1ED3"/>
    <w:rPr>
      <w:sz w:val="36"/>
      <w:szCs w:val="52"/>
    </w:rPr>
  </w:style>
  <w:style w:type="paragraph" w:customStyle="1" w:styleId="Cover3-Haknesset">
    <w:name w:val="Cover 3-Haknesset"/>
    <w:basedOn w:val="Cover1-Reshumot"/>
    <w:rsid w:val="00EA1ED3"/>
    <w:rPr>
      <w:b/>
      <w:bCs/>
      <w:spacing w:val="60"/>
    </w:rPr>
  </w:style>
  <w:style w:type="paragraph" w:customStyle="1" w:styleId="Cover4-Date">
    <w:name w:val="Cover 4-Date"/>
    <w:basedOn w:val="a"/>
    <w:rsid w:val="00EA1ED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A1ED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A1ED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A1ED3"/>
    <w:pPr>
      <w:spacing w:before="120" w:after="120"/>
    </w:pPr>
    <w:rPr>
      <w:color w:val="FF0000"/>
      <w:w w:val="80"/>
    </w:rPr>
  </w:style>
  <w:style w:type="paragraph" w:styleId="a3">
    <w:name w:val="endnote text"/>
    <w:basedOn w:val="a"/>
    <w:semiHidden/>
    <w:rsid w:val="00EA1ED3"/>
    <w:pPr>
      <w:ind w:left="227" w:hanging="227"/>
    </w:pPr>
    <w:rPr>
      <w:sz w:val="14"/>
      <w:szCs w:val="22"/>
    </w:rPr>
  </w:style>
  <w:style w:type="paragraph" w:customStyle="1" w:styleId="TableText">
    <w:name w:val="Table Text"/>
    <w:basedOn w:val="a"/>
    <w:rsid w:val="00EA1ED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A1ED3"/>
  </w:style>
  <w:style w:type="paragraph" w:customStyle="1" w:styleId="TableBlock">
    <w:name w:val="Table Block"/>
    <w:basedOn w:val="TableText"/>
    <w:rsid w:val="00EA1ED3"/>
    <w:pPr>
      <w:ind w:right="0"/>
      <w:jc w:val="both"/>
    </w:pPr>
  </w:style>
  <w:style w:type="paragraph" w:customStyle="1" w:styleId="TableHead">
    <w:name w:val="Table Head"/>
    <w:basedOn w:val="TableText"/>
    <w:rsid w:val="00EA1ED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A1ED3"/>
  </w:style>
  <w:style w:type="paragraph" w:customStyle="1" w:styleId="Hesber">
    <w:name w:val="Hesber"/>
    <w:basedOn w:val="a"/>
    <w:rsid w:val="00EA1ED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EA1ED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EA1ED3"/>
    <w:rPr>
      <w:vertAlign w:val="superscript"/>
    </w:rPr>
  </w:style>
  <w:style w:type="paragraph" w:customStyle="1" w:styleId="HesberHeading">
    <w:name w:val="Hesber Heading"/>
    <w:basedOn w:val="Hesber"/>
    <w:rsid w:val="00EA1ED3"/>
    <w:pPr>
      <w:tabs>
        <w:tab w:val="left" w:pos="624"/>
        <w:tab w:val="left" w:pos="1247"/>
      </w:tabs>
      <w:ind w:firstLine="0"/>
    </w:pPr>
    <w:rPr>
      <w:b/>
      <w:bCs/>
    </w:rPr>
  </w:style>
  <w:style w:type="paragraph" w:customStyle="1" w:styleId="HesberWriters">
    <w:name w:val="Hesber Writers"/>
    <w:basedOn w:val="Hesber"/>
    <w:rsid w:val="00EA1ED3"/>
    <w:pPr>
      <w:spacing w:before="120" w:after="6000"/>
      <w:ind w:left="1418" w:firstLine="0"/>
      <w:jc w:val="right"/>
    </w:pPr>
    <w:rPr>
      <w:b/>
      <w:bCs/>
    </w:rPr>
  </w:style>
  <w:style w:type="paragraph" w:customStyle="1" w:styleId="Hesber1st">
    <w:name w:val="Hesber 1st"/>
    <w:basedOn w:val="Hesber"/>
    <w:rsid w:val="00EA1ED3"/>
    <w:pPr>
      <w:tabs>
        <w:tab w:val="left" w:pos="680"/>
        <w:tab w:val="left" w:pos="1020"/>
      </w:tabs>
      <w:ind w:firstLine="0"/>
    </w:pPr>
  </w:style>
  <w:style w:type="character" w:styleId="a7">
    <w:name w:val="endnote reference"/>
    <w:basedOn w:val="a0"/>
    <w:semiHidden/>
    <w:rsid w:val="00EA1ED3"/>
    <w:rPr>
      <w:vertAlign w:val="superscript"/>
    </w:rPr>
  </w:style>
  <w:style w:type="paragraph" w:customStyle="1" w:styleId="TableBlockOutdent">
    <w:name w:val="Table BlockOutdent"/>
    <w:basedOn w:val="TableBlock"/>
    <w:rsid w:val="00EA1ED3"/>
    <w:pPr>
      <w:ind w:left="624" w:hanging="624"/>
    </w:pPr>
  </w:style>
  <w:style w:type="paragraph" w:styleId="a8">
    <w:name w:val="header"/>
    <w:basedOn w:val="a"/>
    <w:rsid w:val="00EA1ED3"/>
    <w:pPr>
      <w:tabs>
        <w:tab w:val="center" w:pos="4153"/>
        <w:tab w:val="right" w:pos="8306"/>
      </w:tabs>
    </w:pPr>
  </w:style>
  <w:style w:type="paragraph" w:styleId="a9">
    <w:name w:val="footer"/>
    <w:basedOn w:val="a"/>
    <w:rsid w:val="00EA1ED3"/>
    <w:pPr>
      <w:tabs>
        <w:tab w:val="center" w:pos="4153"/>
        <w:tab w:val="right" w:pos="8306"/>
      </w:tabs>
    </w:pPr>
  </w:style>
  <w:style w:type="paragraph" w:customStyle="1" w:styleId="HeadDivreiHesber">
    <w:name w:val="Head DivreiHesber"/>
    <w:basedOn w:val="a"/>
    <w:rsid w:val="00EA1ED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A1ED3"/>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link w:val="ab"/>
    <w:uiPriority w:val="99"/>
    <w:qFormat/>
    <w:rsid w:val="00943386"/>
    <w:pPr>
      <w:jc w:val="center"/>
    </w:pPr>
    <w:rPr>
      <w:rFonts w:cs="David"/>
      <w:b/>
      <w:bCs/>
      <w:sz w:val="28"/>
      <w:szCs w:val="28"/>
      <w:u w:val="single"/>
    </w:rPr>
  </w:style>
  <w:style w:type="character" w:styleId="ac">
    <w:name w:val="page number"/>
    <w:basedOn w:val="a0"/>
    <w:rsid w:val="00EA1ED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styleId="Hyperlink">
    <w:name w:val="Hyperlink"/>
    <w:basedOn w:val="a0"/>
    <w:uiPriority w:val="99"/>
    <w:unhideWhenUsed/>
    <w:rsid w:val="008F67BD"/>
    <w:rPr>
      <w:rFonts w:ascii="Times New Roman" w:hAnsi="Times New Roman" w:cs="Times New Roman" w:hint="default"/>
      <w:color w:val="000000"/>
      <w:u w:val="single"/>
    </w:rPr>
  </w:style>
  <w:style w:type="character" w:customStyle="1" w:styleId="ab">
    <w:name w:val="כותרת טקסט תו"/>
    <w:basedOn w:val="a0"/>
    <w:link w:val="aa"/>
    <w:uiPriority w:val="99"/>
    <w:rsid w:val="008F67BD"/>
    <w:rPr>
      <w:rFonts w:ascii="Hadasa Roso SL" w:hAnsi="Hadasa Roso SL" w:cs="David"/>
      <w:b/>
      <w:bCs/>
      <w:color w:val="000000"/>
      <w:spacing w:val="1"/>
      <w:sz w:val="28"/>
      <w:szCs w:val="28"/>
      <w:u w:val="single"/>
      <w:lang w:eastAsia="ja-JP"/>
    </w:rPr>
  </w:style>
  <w:style w:type="character" w:customStyle="1" w:styleId="apple-converted-space">
    <w:name w:val="apple-converted-space"/>
    <w:basedOn w:val="a0"/>
    <w:rsid w:val="008F67BD"/>
    <w:rPr>
      <w:rFonts w:ascii="Times New Roman" w:hAnsi="Times New Roman" w:cs="Times New Roman" w:hint="default"/>
    </w:rPr>
  </w:style>
  <w:style w:type="paragraph" w:styleId="ad">
    <w:name w:val="List Paragraph"/>
    <w:basedOn w:val="a"/>
    <w:uiPriority w:val="34"/>
    <w:qFormat/>
    <w:rsid w:val="00847AC4"/>
    <w:pPr>
      <w:ind w:left="720"/>
      <w:contextualSpacing/>
    </w:pPr>
  </w:style>
  <w:style w:type="character" w:customStyle="1" w:styleId="a5">
    <w:name w:val="טקסט הערת שוליים תו"/>
    <w:basedOn w:val="a0"/>
    <w:link w:val="a4"/>
    <w:rsid w:val="004113A5"/>
    <w:rPr>
      <w:rFonts w:ascii="Arial" w:eastAsia="Arial Unicode MS" w:hAnsi="Arial" w:cs="David"/>
      <w:snapToGrid w:val="0"/>
      <w:color w:val="000000"/>
      <w:sz w:val="14"/>
      <w:lang w:eastAsia="ja-JP"/>
    </w:rPr>
  </w:style>
  <w:style w:type="paragraph" w:styleId="ae">
    <w:name w:val="Balloon Text"/>
    <w:basedOn w:val="a"/>
    <w:link w:val="af"/>
    <w:semiHidden/>
    <w:unhideWhenUsed/>
    <w:rsid w:val="008700D2"/>
    <w:pPr>
      <w:spacing w:before="0" w:line="240" w:lineRule="auto"/>
    </w:pPr>
    <w:rPr>
      <w:rFonts w:ascii="Tahoma" w:hAnsi="Tahoma" w:cs="Tahoma"/>
      <w:sz w:val="16"/>
      <w:szCs w:val="16"/>
    </w:rPr>
  </w:style>
  <w:style w:type="character" w:customStyle="1" w:styleId="af">
    <w:name w:val="טקסט בלונים תו"/>
    <w:basedOn w:val="a0"/>
    <w:link w:val="ae"/>
    <w:semiHidden/>
    <w:rsid w:val="008700D2"/>
    <w:rPr>
      <w:rFonts w:ascii="Tahoma" w:hAnsi="Tahoma" w:cs="Tahoma"/>
      <w:color w:val="000000"/>
      <w:spacing w:val="1"/>
      <w:sz w:val="16"/>
      <w:szCs w:val="16"/>
      <w:lang w:eastAsia="ja-JP"/>
    </w:rPr>
  </w:style>
  <w:style w:type="character" w:styleId="af0">
    <w:name w:val="annotation reference"/>
    <w:basedOn w:val="a0"/>
    <w:semiHidden/>
    <w:unhideWhenUsed/>
    <w:rsid w:val="005B2EC7"/>
    <w:rPr>
      <w:sz w:val="16"/>
      <w:szCs w:val="16"/>
    </w:rPr>
  </w:style>
  <w:style w:type="paragraph" w:styleId="af1">
    <w:name w:val="annotation text"/>
    <w:basedOn w:val="a"/>
    <w:link w:val="af2"/>
    <w:semiHidden/>
    <w:unhideWhenUsed/>
    <w:rsid w:val="005B2EC7"/>
    <w:pPr>
      <w:spacing w:line="240" w:lineRule="auto"/>
    </w:pPr>
    <w:rPr>
      <w:sz w:val="20"/>
      <w:szCs w:val="20"/>
    </w:rPr>
  </w:style>
  <w:style w:type="character" w:customStyle="1" w:styleId="af2">
    <w:name w:val="טקסט הערה תו"/>
    <w:basedOn w:val="a0"/>
    <w:link w:val="af1"/>
    <w:semiHidden/>
    <w:rsid w:val="005B2EC7"/>
    <w:rPr>
      <w:rFonts w:ascii="Hadasa Roso SL" w:hAnsi="Hadasa Roso SL" w:cs="Hadasa Roso SL"/>
      <w:color w:val="000000"/>
      <w:spacing w:val="1"/>
      <w:lang w:eastAsia="ja-JP"/>
    </w:rPr>
  </w:style>
  <w:style w:type="paragraph" w:styleId="af3">
    <w:name w:val="annotation subject"/>
    <w:basedOn w:val="af1"/>
    <w:next w:val="af1"/>
    <w:link w:val="af4"/>
    <w:semiHidden/>
    <w:unhideWhenUsed/>
    <w:rsid w:val="005B2EC7"/>
    <w:rPr>
      <w:b/>
      <w:bCs/>
    </w:rPr>
  </w:style>
  <w:style w:type="character" w:customStyle="1" w:styleId="af4">
    <w:name w:val="נושא הערה תו"/>
    <w:basedOn w:val="af2"/>
    <w:link w:val="af3"/>
    <w:semiHidden/>
    <w:rsid w:val="005B2EC7"/>
    <w:rPr>
      <w:rFonts w:ascii="Hadasa Roso SL" w:hAnsi="Hadasa Roso SL" w:cs="Hadasa Roso SL"/>
      <w:b/>
      <w:bCs/>
      <w:color w:val="000000"/>
      <w:spacing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D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A1ED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A1ED3"/>
    <w:rPr>
      <w:sz w:val="36"/>
      <w:szCs w:val="52"/>
    </w:rPr>
  </w:style>
  <w:style w:type="paragraph" w:customStyle="1" w:styleId="Cover3-Haknesset">
    <w:name w:val="Cover 3-Haknesset"/>
    <w:basedOn w:val="Cover1-Reshumot"/>
    <w:rsid w:val="00EA1ED3"/>
    <w:rPr>
      <w:b/>
      <w:bCs/>
      <w:spacing w:val="60"/>
    </w:rPr>
  </w:style>
  <w:style w:type="paragraph" w:customStyle="1" w:styleId="Cover4-Date">
    <w:name w:val="Cover 4-Date"/>
    <w:basedOn w:val="a"/>
    <w:rsid w:val="00EA1ED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A1ED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A1ED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A1ED3"/>
    <w:pPr>
      <w:spacing w:before="120" w:after="120"/>
    </w:pPr>
    <w:rPr>
      <w:color w:val="FF0000"/>
      <w:w w:val="80"/>
    </w:rPr>
  </w:style>
  <w:style w:type="paragraph" w:styleId="a3">
    <w:name w:val="endnote text"/>
    <w:basedOn w:val="a"/>
    <w:semiHidden/>
    <w:rsid w:val="00EA1ED3"/>
    <w:pPr>
      <w:ind w:left="227" w:hanging="227"/>
    </w:pPr>
    <w:rPr>
      <w:sz w:val="14"/>
      <w:szCs w:val="22"/>
    </w:rPr>
  </w:style>
  <w:style w:type="paragraph" w:customStyle="1" w:styleId="TableText">
    <w:name w:val="Table Text"/>
    <w:basedOn w:val="a"/>
    <w:rsid w:val="00EA1ED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A1ED3"/>
  </w:style>
  <w:style w:type="paragraph" w:customStyle="1" w:styleId="TableBlock">
    <w:name w:val="Table Block"/>
    <w:basedOn w:val="TableText"/>
    <w:rsid w:val="00EA1ED3"/>
    <w:pPr>
      <w:ind w:right="0"/>
      <w:jc w:val="both"/>
    </w:pPr>
  </w:style>
  <w:style w:type="paragraph" w:customStyle="1" w:styleId="TableHead">
    <w:name w:val="Table Head"/>
    <w:basedOn w:val="TableText"/>
    <w:rsid w:val="00EA1ED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A1ED3"/>
  </w:style>
  <w:style w:type="paragraph" w:customStyle="1" w:styleId="Hesber">
    <w:name w:val="Hesber"/>
    <w:basedOn w:val="a"/>
    <w:rsid w:val="00EA1ED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EA1ED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EA1ED3"/>
    <w:rPr>
      <w:vertAlign w:val="superscript"/>
    </w:rPr>
  </w:style>
  <w:style w:type="paragraph" w:customStyle="1" w:styleId="HesberHeading">
    <w:name w:val="Hesber Heading"/>
    <w:basedOn w:val="Hesber"/>
    <w:rsid w:val="00EA1ED3"/>
    <w:pPr>
      <w:tabs>
        <w:tab w:val="left" w:pos="624"/>
        <w:tab w:val="left" w:pos="1247"/>
      </w:tabs>
      <w:ind w:firstLine="0"/>
    </w:pPr>
    <w:rPr>
      <w:b/>
      <w:bCs/>
    </w:rPr>
  </w:style>
  <w:style w:type="paragraph" w:customStyle="1" w:styleId="HesberWriters">
    <w:name w:val="Hesber Writers"/>
    <w:basedOn w:val="Hesber"/>
    <w:rsid w:val="00EA1ED3"/>
    <w:pPr>
      <w:spacing w:before="120" w:after="6000"/>
      <w:ind w:left="1418" w:firstLine="0"/>
      <w:jc w:val="right"/>
    </w:pPr>
    <w:rPr>
      <w:b/>
      <w:bCs/>
    </w:rPr>
  </w:style>
  <w:style w:type="paragraph" w:customStyle="1" w:styleId="Hesber1st">
    <w:name w:val="Hesber 1st"/>
    <w:basedOn w:val="Hesber"/>
    <w:rsid w:val="00EA1ED3"/>
    <w:pPr>
      <w:tabs>
        <w:tab w:val="left" w:pos="680"/>
        <w:tab w:val="left" w:pos="1020"/>
      </w:tabs>
      <w:ind w:firstLine="0"/>
    </w:pPr>
  </w:style>
  <w:style w:type="character" w:styleId="a7">
    <w:name w:val="endnote reference"/>
    <w:basedOn w:val="a0"/>
    <w:semiHidden/>
    <w:rsid w:val="00EA1ED3"/>
    <w:rPr>
      <w:vertAlign w:val="superscript"/>
    </w:rPr>
  </w:style>
  <w:style w:type="paragraph" w:customStyle="1" w:styleId="TableBlockOutdent">
    <w:name w:val="Table BlockOutdent"/>
    <w:basedOn w:val="TableBlock"/>
    <w:rsid w:val="00EA1ED3"/>
    <w:pPr>
      <w:ind w:left="624" w:hanging="624"/>
    </w:pPr>
  </w:style>
  <w:style w:type="paragraph" w:styleId="a8">
    <w:name w:val="header"/>
    <w:basedOn w:val="a"/>
    <w:rsid w:val="00EA1ED3"/>
    <w:pPr>
      <w:tabs>
        <w:tab w:val="center" w:pos="4153"/>
        <w:tab w:val="right" w:pos="8306"/>
      </w:tabs>
    </w:pPr>
  </w:style>
  <w:style w:type="paragraph" w:styleId="a9">
    <w:name w:val="footer"/>
    <w:basedOn w:val="a"/>
    <w:rsid w:val="00EA1ED3"/>
    <w:pPr>
      <w:tabs>
        <w:tab w:val="center" w:pos="4153"/>
        <w:tab w:val="right" w:pos="8306"/>
      </w:tabs>
    </w:pPr>
  </w:style>
  <w:style w:type="paragraph" w:customStyle="1" w:styleId="HeadDivreiHesber">
    <w:name w:val="Head DivreiHesber"/>
    <w:basedOn w:val="a"/>
    <w:rsid w:val="00EA1ED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A1ED3"/>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link w:val="ab"/>
    <w:uiPriority w:val="99"/>
    <w:qFormat/>
    <w:rsid w:val="00943386"/>
    <w:pPr>
      <w:jc w:val="center"/>
    </w:pPr>
    <w:rPr>
      <w:rFonts w:cs="David"/>
      <w:b/>
      <w:bCs/>
      <w:sz w:val="28"/>
      <w:szCs w:val="28"/>
      <w:u w:val="single"/>
    </w:rPr>
  </w:style>
  <w:style w:type="character" w:styleId="ac">
    <w:name w:val="page number"/>
    <w:basedOn w:val="a0"/>
    <w:rsid w:val="00EA1ED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styleId="Hyperlink">
    <w:name w:val="Hyperlink"/>
    <w:basedOn w:val="a0"/>
    <w:uiPriority w:val="99"/>
    <w:unhideWhenUsed/>
    <w:rsid w:val="008F67BD"/>
    <w:rPr>
      <w:rFonts w:ascii="Times New Roman" w:hAnsi="Times New Roman" w:cs="Times New Roman" w:hint="default"/>
      <w:color w:val="000000"/>
      <w:u w:val="single"/>
    </w:rPr>
  </w:style>
  <w:style w:type="character" w:customStyle="1" w:styleId="ab">
    <w:name w:val="כותרת טקסט תו"/>
    <w:basedOn w:val="a0"/>
    <w:link w:val="aa"/>
    <w:uiPriority w:val="99"/>
    <w:rsid w:val="008F67BD"/>
    <w:rPr>
      <w:rFonts w:ascii="Hadasa Roso SL" w:hAnsi="Hadasa Roso SL" w:cs="David"/>
      <w:b/>
      <w:bCs/>
      <w:color w:val="000000"/>
      <w:spacing w:val="1"/>
      <w:sz w:val="28"/>
      <w:szCs w:val="28"/>
      <w:u w:val="single"/>
      <w:lang w:eastAsia="ja-JP"/>
    </w:rPr>
  </w:style>
  <w:style w:type="character" w:customStyle="1" w:styleId="apple-converted-space">
    <w:name w:val="apple-converted-space"/>
    <w:basedOn w:val="a0"/>
    <w:rsid w:val="008F67BD"/>
    <w:rPr>
      <w:rFonts w:ascii="Times New Roman" w:hAnsi="Times New Roman" w:cs="Times New Roman" w:hint="default"/>
    </w:rPr>
  </w:style>
  <w:style w:type="paragraph" w:styleId="ad">
    <w:name w:val="List Paragraph"/>
    <w:basedOn w:val="a"/>
    <w:uiPriority w:val="34"/>
    <w:qFormat/>
    <w:rsid w:val="00847AC4"/>
    <w:pPr>
      <w:ind w:left="720"/>
      <w:contextualSpacing/>
    </w:pPr>
  </w:style>
  <w:style w:type="character" w:customStyle="1" w:styleId="a5">
    <w:name w:val="טקסט הערת שוליים תו"/>
    <w:basedOn w:val="a0"/>
    <w:link w:val="a4"/>
    <w:rsid w:val="004113A5"/>
    <w:rPr>
      <w:rFonts w:ascii="Arial" w:eastAsia="Arial Unicode MS" w:hAnsi="Arial" w:cs="David"/>
      <w:snapToGrid w:val="0"/>
      <w:color w:val="000000"/>
      <w:sz w:val="14"/>
      <w:lang w:eastAsia="ja-JP"/>
    </w:rPr>
  </w:style>
  <w:style w:type="paragraph" w:styleId="ae">
    <w:name w:val="Balloon Text"/>
    <w:basedOn w:val="a"/>
    <w:link w:val="af"/>
    <w:semiHidden/>
    <w:unhideWhenUsed/>
    <w:rsid w:val="008700D2"/>
    <w:pPr>
      <w:spacing w:before="0" w:line="240" w:lineRule="auto"/>
    </w:pPr>
    <w:rPr>
      <w:rFonts w:ascii="Tahoma" w:hAnsi="Tahoma" w:cs="Tahoma"/>
      <w:sz w:val="16"/>
      <w:szCs w:val="16"/>
    </w:rPr>
  </w:style>
  <w:style w:type="character" w:customStyle="1" w:styleId="af">
    <w:name w:val="טקסט בלונים תו"/>
    <w:basedOn w:val="a0"/>
    <w:link w:val="ae"/>
    <w:semiHidden/>
    <w:rsid w:val="008700D2"/>
    <w:rPr>
      <w:rFonts w:ascii="Tahoma" w:hAnsi="Tahoma" w:cs="Tahoma"/>
      <w:color w:val="000000"/>
      <w:spacing w:val="1"/>
      <w:sz w:val="16"/>
      <w:szCs w:val="16"/>
      <w:lang w:eastAsia="ja-JP"/>
    </w:rPr>
  </w:style>
  <w:style w:type="character" w:styleId="af0">
    <w:name w:val="annotation reference"/>
    <w:basedOn w:val="a0"/>
    <w:semiHidden/>
    <w:unhideWhenUsed/>
    <w:rsid w:val="005B2EC7"/>
    <w:rPr>
      <w:sz w:val="16"/>
      <w:szCs w:val="16"/>
    </w:rPr>
  </w:style>
  <w:style w:type="paragraph" w:styleId="af1">
    <w:name w:val="annotation text"/>
    <w:basedOn w:val="a"/>
    <w:link w:val="af2"/>
    <w:semiHidden/>
    <w:unhideWhenUsed/>
    <w:rsid w:val="005B2EC7"/>
    <w:pPr>
      <w:spacing w:line="240" w:lineRule="auto"/>
    </w:pPr>
    <w:rPr>
      <w:sz w:val="20"/>
      <w:szCs w:val="20"/>
    </w:rPr>
  </w:style>
  <w:style w:type="character" w:customStyle="1" w:styleId="af2">
    <w:name w:val="טקסט הערה תו"/>
    <w:basedOn w:val="a0"/>
    <w:link w:val="af1"/>
    <w:semiHidden/>
    <w:rsid w:val="005B2EC7"/>
    <w:rPr>
      <w:rFonts w:ascii="Hadasa Roso SL" w:hAnsi="Hadasa Roso SL" w:cs="Hadasa Roso SL"/>
      <w:color w:val="000000"/>
      <w:spacing w:val="1"/>
      <w:lang w:eastAsia="ja-JP"/>
    </w:rPr>
  </w:style>
  <w:style w:type="paragraph" w:styleId="af3">
    <w:name w:val="annotation subject"/>
    <w:basedOn w:val="af1"/>
    <w:next w:val="af1"/>
    <w:link w:val="af4"/>
    <w:semiHidden/>
    <w:unhideWhenUsed/>
    <w:rsid w:val="005B2EC7"/>
    <w:rPr>
      <w:b/>
      <w:bCs/>
    </w:rPr>
  </w:style>
  <w:style w:type="character" w:customStyle="1" w:styleId="af4">
    <w:name w:val="נושא הערה תו"/>
    <w:basedOn w:val="af2"/>
    <w:link w:val="af3"/>
    <w:semiHidden/>
    <w:rsid w:val="005B2EC7"/>
    <w:rPr>
      <w:rFonts w:ascii="Hadasa Roso SL"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390">
      <w:bodyDiv w:val="1"/>
      <w:marLeft w:val="0"/>
      <w:marRight w:val="0"/>
      <w:marTop w:val="0"/>
      <w:marBottom w:val="0"/>
      <w:divBdr>
        <w:top w:val="none" w:sz="0" w:space="0" w:color="auto"/>
        <w:left w:val="none" w:sz="0" w:space="0" w:color="auto"/>
        <w:bottom w:val="none" w:sz="0" w:space="0" w:color="auto"/>
        <w:right w:val="none" w:sz="0" w:space="0" w:color="auto"/>
      </w:divBdr>
    </w:div>
    <w:div w:id="5847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he.wikipedia.org/w/index.php?title=%D7%A4%D7%95%D7%98%D7%A8_%D7%A1%D7%98%D7%99%D7%95%D7%90%D7%A8%D7%98&amp;action=edit&amp;redlink=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8BC11-0A1F-4BE6-8EBD-61CFD7B9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729D60-114C-435E-AAA1-C8ACDCDF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3453</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subject/>
  <dc:creator>אודליה גבאי -דיין</dc:creator>
  <cp:keywords/>
  <dc:description/>
  <cp:lastModifiedBy>לילך יעיש</cp:lastModifiedBy>
  <cp:revision>2</cp:revision>
  <cp:lastPrinted>2013-10-31T10:19:00Z</cp:lastPrinted>
  <dcterms:created xsi:type="dcterms:W3CDTF">2013-10-31T10:20:00Z</dcterms:created>
  <dcterms:modified xsi:type="dcterms:W3CDTF">2013-10-31T10:20:00Z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