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כ"ח בתשרי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11 באוקטובר, 2015</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1113</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תופעת ההימורים של בני נוער בווינר</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תופעת ההימורים בווינר הפכה זה מכבר למכת מדינה. בשנת 2007 תוקן חוק העונשין ונאסרו הימורים לקטינים אולם, על פי פרסומים שהיו לאחרונה, מתוך 800 אלף בני נוער בגילים שבין 12 ל־18, כ־300 אלף מתבגרים מהמרים בווינר על בסיס קבוע. הגיל הממוצע של המהמר המתחיל עומד על 11.6. </w:t>
      </w:r>
      <w:r>
        <w:br/>
      </w:r>
      <w:r>
        <w:rPr>
          <w:rFonts w:hint="cs" w:ascii="Tahoma" w:hAnsi="Tahoma" w:cs="David"/>
          <w:sz w:val="24"/>
          <w:szCs w:val="24"/>
          <w:rtl/>
        </w:rPr>
        <w:t xml:space="preserve">בני הנוער צורכים את השירות בהיקף אדיר ובסכומי כסף שלעתים מגיעים לעשרות אלפי שקלים. מהר מאוד הם מאבדים שליטה ויש כאלה שבהחלט נופלים. רבים מאירועי עבריינות הנוער קשורים להימורים. </w:t>
      </w:r>
      <w:r>
        <w:br/>
      </w:r>
      <w:r>
        <w:rPr>
          <w:rFonts w:hint="cs" w:ascii="Tahoma" w:hAnsi="Tahoma" w:cs="David"/>
          <w:sz w:val="24"/>
          <w:szCs w:val="24"/>
          <w:rtl/>
        </w:rPr>
        <w:t xml:space="preserve">אחד הגורמים העיקריים לתופעה הוא היעדר הסדר נושא הפרסום והשיווק של ההימורים, וכשכך נתלים שלטי פרסום לווינר בכל מוסדות החינוך, שנהנים ממימון המועצה להסדר הימורים בספורט.</w:t>
      </w:r>
      <w:r>
        <w:br/>
      </w:r>
      <w:r>
        <w:rPr>
          <w:rFonts w:hint="cs" w:ascii="Tahoma" w:hAnsi="Tahoma" w:cs="David"/>
          <w:sz w:val="24"/>
          <w:szCs w:val="24"/>
          <w:rtl/>
        </w:rPr>
        <w:t xml:space="preserve"/>
      </w:r>
      <w:r>
        <w:br/>
      </w:r>
      <w:r>
        <w:rPr>
          <w:rFonts w:hint="cs" w:ascii="Tahoma" w:hAnsi="Tahoma" w:cs="David"/>
          <w:sz w:val="24"/>
          <w:szCs w:val="24"/>
          <w:rtl/>
        </w:rPr>
        <w:t xml:space="preserve">לאור העובדה שהתופעה הולכת ומחמירה, במיוחד באזורי הפריפריה החברתית, וכן כי מדובר בתופעה מסוכנת מן הראוי לקיים דיון מהיר בנושא.</w:t>
      </w:r>
      <w:r>
        <w:br/>
      </w:r>
      <w:r>
        <w:rPr>
          <w:rFonts w:hint="cs" w:ascii="Tahoma" w:hAnsi="Tahoma" w:cs="David"/>
          <w:sz w:val="24"/>
          <w:szCs w:val="24"/>
          <w:rtl/>
        </w:rPr>
        <w:t xml:space="preserve"/>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מכלוף מיקי זוהר</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EDE53-8088-4747-8940-48C33F2ED0DB}"/>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569460</vt:r8>
  </property>
</Properties>
</file>