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ג' באב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19 ביולי,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944</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המחסור החמור בסייעות לילדים החולים במחלת הסכרת והתמודדותם של ילדים בני 10 ומעלה החולים בה עם מצבים מסכני חיים</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ילדים סוכרתיים מקבלים סייעת רפואית במערכת החינוך עד גיל 9. אי מתן סייעת מגיל 10 משאיר את הילדים להתמודד לבדם עם הזרקת אינסולין ומצבי היפו מסוכנים בזמן שהייתם בבתי הספר כאשר במערכת החינוך ישנה בורות גדולה והיעדר מידע על התמודדות עם המצב.</w:t>
      </w:r>
      <w:r>
        <w:br/>
      </w:r>
      <w:r>
        <w:rPr>
          <w:rFonts w:ascii="Tahoma" w:hAnsi="Tahoma" w:cs="David" w:hint="cs"/>
          <w:sz w:val="24"/>
          <w:szCs w:val="24"/>
          <w:rtl/>
        </w:rPr>
        <w:t>המחסור בסייעות מציב את הילדים בפני מצבים בריאותיים מסכונים ומטיל על ההורים עול כבד שעולה לעיתים עד כדי העדר מסוגלות ביציאה לעבודה שכן הם נדרשים להיות צמודים לילידהם ולטפל בהם במשך מרבית שעות העבודה המקובלות.</w:t>
      </w:r>
      <w:r>
        <w:br/>
      </w:r>
      <w:r>
        <w:rPr>
          <w:rFonts w:ascii="Tahoma" w:hAnsi="Tahoma" w:cs="David" w:hint="cs"/>
          <w:sz w:val="24"/>
          <w:szCs w:val="24"/>
          <w:rtl/>
        </w:rPr>
        <w:t xml:space="preserve">על כן, מן הראוי שועדת החינוך של הכנסת תדון בנושא על כל היבטיו.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איילת נחמיאס ורבין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51219D"/>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3F9C7769-F3B5-4CA5-92BF-4A83266A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DFFFDAD4-234B-40AE-B996-B5109EF94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697</Characters>
  <Application>Microsoft Office Word</Application>
  <DocSecurity>0</DocSecurity>
  <Lines>30</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567730</vt:r8>
  </property>
</Properties>
</file>