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29" w:rsidRPr="00217675" w:rsidRDefault="004033D8" w:rsidP="002C2E29">
      <w:pPr>
        <w:pStyle w:val="HeadHatzaotHok"/>
        <w:jc w:val="right"/>
        <w:rPr>
          <w:b w:val="0"/>
          <w:bCs w:val="0"/>
          <w:szCs w:val="20"/>
        </w:rPr>
      </w:pPr>
      <w:r w:rsidRPr="00217675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ItemID"/>
      <w:r w:rsidR="00573E77" w:rsidRPr="00217675">
        <w:rPr>
          <w:b w:val="0"/>
          <w:bCs w:val="0"/>
          <w:szCs w:val="20"/>
          <w:rtl/>
        </w:rPr>
        <w:t>543895</w:t>
      </w:r>
      <w:bookmarkEnd w:id="0"/>
    </w:p>
    <w:p w:rsidR="00E13C27" w:rsidRPr="00DB7060" w:rsidRDefault="00E13C27" w:rsidP="00E13C27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KnessetNum"/>
      <w:r w:rsidR="00573E77" w:rsidRPr="00573E77">
        <w:rPr>
          <w:sz w:val="28"/>
          <w:szCs w:val="28"/>
          <w:rtl/>
        </w:rPr>
        <w:t>התשע-עשרה</w:t>
      </w:r>
      <w:bookmarkEnd w:id="1"/>
    </w:p>
    <w:p w:rsidR="00E13C27" w:rsidRDefault="00E13C27" w:rsidP="00E13C27">
      <w:pPr>
        <w:rPr>
          <w:rFonts w:cs="David"/>
          <w:sz w:val="26"/>
          <w:szCs w:val="26"/>
          <w:rtl/>
        </w:rPr>
      </w:pPr>
    </w:p>
    <w:p w:rsidR="006C3B94" w:rsidRPr="00730606" w:rsidRDefault="00995004" w:rsidP="0091204F">
      <w:pPr>
        <w:pStyle w:val="David"/>
        <w:ind w:left="2880" w:firstLine="663"/>
        <w:rPr>
          <w:b/>
          <w:bCs/>
        </w:rPr>
      </w:pPr>
      <w:bookmarkStart w:id="2" w:name="MKsSingleOrMulti"/>
      <w:r w:rsidRPr="00730606">
        <w:rPr>
          <w:b/>
          <w:bCs/>
          <w:rtl/>
        </w:rPr>
        <w:t>יוזמים:      חברי הכנסת</w:t>
      </w:r>
      <w:bookmarkEnd w:id="2"/>
      <w:r w:rsidR="00B35784" w:rsidRPr="00730606">
        <w:rPr>
          <w:b/>
          <w:bCs/>
        </w:rPr>
        <w:tab/>
      </w:r>
      <w:bookmarkStart w:id="3" w:name="MKs"/>
      <w:r w:rsidR="006C3B94" w:rsidRPr="00730606">
        <w:rPr>
          <w:b/>
          <w:bCs/>
          <w:rtl/>
        </w:rPr>
        <w:t>אורי מקלב</w:t>
      </w:r>
    </w:p>
    <w:p w:rsidR="006C3B94" w:rsidRPr="00730606" w:rsidRDefault="006C3B94" w:rsidP="0091204F">
      <w:pPr>
        <w:pStyle w:val="David"/>
        <w:ind w:left="2880" w:firstLine="663"/>
        <w:rPr>
          <w:b/>
          <w:bCs/>
        </w:rPr>
      </w:pP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  <w:rtl/>
        </w:rPr>
        <w:t>חיים כץ</w:t>
      </w:r>
    </w:p>
    <w:p w:rsidR="006C3B94" w:rsidRPr="00730606" w:rsidRDefault="006C3B94" w:rsidP="0091204F">
      <w:pPr>
        <w:pStyle w:val="David"/>
        <w:ind w:left="2880" w:firstLine="663"/>
        <w:rPr>
          <w:b/>
          <w:bCs/>
        </w:rPr>
      </w:pP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  <w:rtl/>
        </w:rPr>
        <w:t>משה גפני</w:t>
      </w:r>
    </w:p>
    <w:p w:rsidR="006C3B94" w:rsidRPr="00730606" w:rsidRDefault="006C3B94" w:rsidP="0091204F">
      <w:pPr>
        <w:pStyle w:val="David"/>
        <w:ind w:left="2880" w:firstLine="663"/>
        <w:rPr>
          <w:b/>
          <w:bCs/>
        </w:rPr>
      </w:pP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  <w:rtl/>
        </w:rPr>
        <w:t>יעקב אשר</w:t>
      </w:r>
    </w:p>
    <w:p w:rsidR="006C3B94" w:rsidRPr="00730606" w:rsidRDefault="006C3B94" w:rsidP="0091204F">
      <w:pPr>
        <w:pStyle w:val="David"/>
        <w:ind w:left="2880" w:firstLine="663"/>
        <w:rPr>
          <w:b/>
          <w:bCs/>
        </w:rPr>
      </w:pP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  <w:rtl/>
        </w:rPr>
        <w:t>יריב לוין</w:t>
      </w:r>
    </w:p>
    <w:p w:rsidR="006C3B94" w:rsidRPr="00730606" w:rsidRDefault="006C3B94" w:rsidP="0091204F">
      <w:pPr>
        <w:pStyle w:val="David"/>
        <w:ind w:left="2880" w:firstLine="663"/>
        <w:rPr>
          <w:b/>
          <w:bCs/>
        </w:rPr>
      </w:pP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  <w:rtl/>
        </w:rPr>
        <w:t>ישראל אייכלר</w:t>
      </w:r>
    </w:p>
    <w:p w:rsidR="006C3B94" w:rsidRPr="00730606" w:rsidRDefault="006C3B94" w:rsidP="0091204F">
      <w:pPr>
        <w:pStyle w:val="David"/>
        <w:ind w:left="2880" w:firstLine="663"/>
        <w:rPr>
          <w:b/>
          <w:bCs/>
        </w:rPr>
      </w:pP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  <w:rtl/>
        </w:rPr>
        <w:t>קארין אלהרר</w:t>
      </w:r>
    </w:p>
    <w:p w:rsidR="006C3B94" w:rsidRPr="00730606" w:rsidRDefault="006C3B94" w:rsidP="0091204F">
      <w:pPr>
        <w:pStyle w:val="David"/>
        <w:ind w:left="2880" w:firstLine="663"/>
        <w:rPr>
          <w:b/>
          <w:bCs/>
        </w:rPr>
      </w:pP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  <w:rtl/>
        </w:rPr>
        <w:t>איציק שמולי</w:t>
      </w:r>
    </w:p>
    <w:p w:rsidR="00217675" w:rsidRDefault="006C3B94" w:rsidP="00730606">
      <w:pPr>
        <w:pStyle w:val="David"/>
        <w:ind w:left="2880" w:firstLine="663"/>
        <w:rPr>
          <w:rtl/>
        </w:rPr>
      </w:pP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</w:rPr>
        <w:tab/>
      </w:r>
      <w:r w:rsidRPr="00730606">
        <w:rPr>
          <w:b/>
          <w:bCs/>
          <w:rtl/>
        </w:rPr>
        <w:t>עדי קול</w:t>
      </w:r>
      <w:bookmarkStart w:id="4" w:name="MKsSingleOrMulti1"/>
      <w:bookmarkEnd w:id="3"/>
      <w:bookmarkEnd w:id="4"/>
    </w:p>
    <w:p w:rsidR="00E13C27" w:rsidRPr="00730606" w:rsidRDefault="002200A1" w:rsidP="00730606">
      <w:pPr>
        <w:pStyle w:val="David"/>
        <w:ind w:left="2880" w:firstLine="663"/>
        <w:rPr>
          <w:b/>
          <w:bCs/>
          <w:rtl/>
        </w:rPr>
      </w:pPr>
      <w:r>
        <w:rPr>
          <w:rFonts w:hint="cs"/>
          <w:rtl/>
        </w:rPr>
        <w:tab/>
      </w:r>
      <w:bookmarkStart w:id="5" w:name="MKs1"/>
      <w:bookmarkEnd w:id="5"/>
    </w:p>
    <w:p w:rsidR="00E13C27" w:rsidRDefault="0014195F" w:rsidP="00292712">
      <w:pPr>
        <w:ind w:left="2919" w:firstLine="720"/>
        <w:rPr>
          <w:rFonts w:cs="David"/>
          <w:sz w:val="26"/>
          <w:szCs w:val="26"/>
          <w:rtl/>
        </w:rPr>
      </w:pPr>
      <w:r>
        <w:rPr>
          <w:rFonts w:cs="Davi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98B07" wp14:editId="1B0811B0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879215" cy="1714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215" cy="17145"/>
                        </a:xfrm>
                        <a:custGeom>
                          <a:avLst/>
                          <a:gdLst>
                            <a:gd name="T0" fmla="*/ 0 w 6109"/>
                            <a:gd name="T1" fmla="*/ 27 h 27"/>
                            <a:gd name="T2" fmla="*/ 6109 w 6109"/>
                            <a:gd name="T3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9" h="27">
                              <a:moveTo>
                                <a:pt x="0" y="27"/>
                              </a:moveTo>
                              <a:lnTo>
                                <a:pt x="61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5.55pt,3.75pt" coordsize="610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G/AIAAI4GAAAOAAAAZHJzL2Uyb0RvYy54bWysVdtu2zAMfR+wfxD0OCD1Jc4VdYoil2FA&#10;txVo9gGKLMfGbMmTlDjdsH8fKTuO06LAMCwPDmUy5DmHInN7dyoLchTa5ErGNLjxKRGSqySX+5h+&#10;224GU0qMZTJhhZIips/C0LvF+3e3dTUXocpUkQhNIIk087qKaWZtNfc8wzNRMnOjKiHBmSpdMgtH&#10;vfcSzWrIXhZe6Ptjr1Y6qbTiwhh4u2qcdOHyp6ng9muaGmFJEVPAZt1Tu+cOn97ils33mlVZzlsY&#10;7B9QlCyXULRLtWKWkYPOX6Uqc66VUam94ar0VJrmXDgOwCbwX7B5ylglHBcQx1SdTOb/peVfjo+a&#10;5An0jhLJSmjRRguBgpMJqlNXZg5BT9WjRn6melD8uwGHd+XBg4EYsqs/qwSysINVTpFTqkv8JXAl&#10;Jyf8cye8OFnC4eVwOpmFwYgSDr5gEkQjLO2x+fnH/GDsR6FcInZ8MLbpWwKWUz1psW+hx2lZQAs/&#10;eMQnNRkH/qxtchcDTLuYcEIyEjqm0LwuJOyFYIo3Mg17YX6XCHDvz8hYdgbLT7JFCxZhOB++E6hS&#10;BoVB6MB+G7TUIQqpvREMADF42A+GupciGq7+y0uvKYFLv2v0qJhFbFgDTVLH1IlFspiCIPi+VEex&#10;VS7CXnrXqAXFLu5C9sOaNOcuQ2DjBgMLub52xRFzr7dSbfKicM0tJEKajcKRw2JUkSfoRDhG73fL&#10;QpMjw7F2n1aIqzCtDjJxyTLBknVrW5YXje2gYT64h60UeCPd3P6a+bP1dD2NBlE4Xg8if7Ua3G+W&#10;0WC8CSaj1XC1XK6C3wgtiOZZniRCIrrzDgmiv5vRdps1099tkSsWV2Q37vOarHcNw4kMXM7fjp2b&#10;WBzSZqp3KnmGgdWqWYqwxMHIlP5JSQ0LMabmx4FpQUnxScLGmQVRhBvUHaLRJISD7nt2fQ+THFLF&#10;1FK46mgubbN1D5XO9xlUClxbpbqHRZHmONAOX4OqPcDScwzaBY1btX92UZe/kcUfAAAA//8DAFBL&#10;AwQUAAYACAAAACEA05sujNgAAAAFAQAADwAAAGRycy9kb3ducmV2LnhtbEyOwW6DMBBE75XyD9ZW&#10;6q0xIJVUFBOhSDlHpD306OAt0OI1sp1A8vXZntrjaJ5mXrld7Cgu6MPgSEG6TkAgtc4M1Cn4eN8/&#10;v4IIUZPRoyNUcMUA22r1UOrCuJkavBxjJ3iEQqEV9DFOhZSh7dHqsHYTEndfzlsdOfpOGq9nHrej&#10;zJIkl1YPxA+9nnDXY/tzPFsFn7cm39fSY31oNleWkd+zOSj19LjUbyAiLvEPhl99VoeKnU7uTCaI&#10;UUHGnILNCwgu8zRNQZyYSjKQVSn/21d3AAAA//8DAFBLAQItABQABgAIAAAAIQC2gziS/gAAAOEB&#10;AAATAAAAAAAAAAAAAAAAAAAAAABbQ29udGVudF9UeXBlc10ueG1sUEsBAi0AFAAGAAgAAAAhADj9&#10;If/WAAAAlAEAAAsAAAAAAAAAAAAAAAAALwEAAF9yZWxzLy5yZWxzUEsBAi0AFAAGAAgAAAAhAK/d&#10;KIb8AgAAjgYAAA4AAAAAAAAAAAAAAAAALgIAAGRycy9lMm9Eb2MueG1sUEsBAi0AFAAGAAgAAAAh&#10;ANObLozYAAAABQEAAA8AAAAAAAAAAAAAAAAAVgUAAGRycy9kb3ducmV2LnhtbFBLBQYAAAAABAAE&#10;APMAAABbBgAAAAA=&#10;" filled="f">
                <v:path arrowok="t" o:connecttype="custom" o:connectlocs="0,17145;3879215,0" o:connectangles="0,0"/>
              </v:polyline>
            </w:pict>
          </mc:Fallback>
        </mc:AlternateContent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bookmarkStart w:id="6" w:name="LawNum"/>
      <w:r w:rsidR="00225B50" w:rsidRPr="00225B50">
        <w:rPr>
          <w:rFonts w:cs="David"/>
          <w:sz w:val="26"/>
          <w:szCs w:val="26"/>
          <w:rtl/>
        </w:rPr>
        <w:t>פ/2028/19</w:t>
      </w:r>
      <w:bookmarkEnd w:id="6"/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</w:p>
    <w:p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:rsidR="00E13C27" w:rsidRDefault="00F74745" w:rsidP="00217675">
      <w:pPr>
        <w:pStyle w:val="HeadHatzaotHok"/>
        <w:tabs>
          <w:tab w:val="left" w:pos="4071"/>
          <w:tab w:val="center" w:pos="4819"/>
        </w:tabs>
        <w:spacing w:before="0" w:line="240" w:lineRule="auto"/>
        <w:rPr>
          <w:sz w:val="26"/>
          <w:rtl/>
        </w:rPr>
      </w:pPr>
      <w:bookmarkStart w:id="7" w:name="Title"/>
      <w:r w:rsidRPr="00F74745">
        <w:rPr>
          <w:sz w:val="26"/>
          <w:rtl/>
        </w:rPr>
        <w:t xml:space="preserve">הצעת חוק דמי מחלה (היעדרות בשל מחלת ילד) (תיקון </w:t>
      </w:r>
      <w:r w:rsidR="00217675">
        <w:rPr>
          <w:rFonts w:hint="cs"/>
          <w:sz w:val="26"/>
          <w:rtl/>
        </w:rPr>
        <w:t>–</w:t>
      </w:r>
      <w:r w:rsidRPr="00F74745">
        <w:rPr>
          <w:sz w:val="26"/>
          <w:rtl/>
        </w:rPr>
        <w:t xml:space="preserve"> היעדרות בשל מחלה קשה), התשע"ד</w:t>
      </w:r>
      <w:r w:rsidR="00217675">
        <w:rPr>
          <w:rFonts w:hint="cs"/>
          <w:sz w:val="26"/>
          <w:rtl/>
        </w:rPr>
        <w:t>–</w:t>
      </w:r>
      <w:r w:rsidRPr="00F74745">
        <w:rPr>
          <w:sz w:val="26"/>
          <w:rtl/>
        </w:rPr>
        <w:t>2014</w:t>
      </w:r>
      <w:bookmarkEnd w:id="7"/>
    </w:p>
    <w:p w:rsidR="00217675" w:rsidRDefault="00217675" w:rsidP="00217675">
      <w:pPr>
        <w:pStyle w:val="HeadHatzaotHok"/>
        <w:tabs>
          <w:tab w:val="left" w:pos="4071"/>
          <w:tab w:val="center" w:pos="4819"/>
        </w:tabs>
        <w:spacing w:before="0" w:line="240" w:lineRule="auto"/>
        <w:rPr>
          <w:sz w:val="26"/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2304E0" w:rsidTr="004009F5">
        <w:trPr>
          <w:cantSplit/>
          <w:trHeight w:val="60"/>
        </w:trPr>
        <w:tc>
          <w:tcPr>
            <w:tcW w:w="1871" w:type="dxa"/>
          </w:tcPr>
          <w:p w:rsidR="002304E0" w:rsidRPr="004009F5" w:rsidRDefault="002304E0" w:rsidP="004009F5">
            <w:pPr>
              <w:pStyle w:val="TableSideHeading"/>
              <w:ind w:right="0"/>
            </w:pPr>
            <w:r w:rsidRPr="004009F5">
              <w:rPr>
                <w:rFonts w:hint="cs"/>
                <w:rtl/>
              </w:rPr>
              <w:t>תיקון סעיף 1א</w:t>
            </w:r>
          </w:p>
        </w:tc>
        <w:tc>
          <w:tcPr>
            <w:tcW w:w="624" w:type="dxa"/>
          </w:tcPr>
          <w:p w:rsidR="002304E0" w:rsidRPr="004009F5" w:rsidRDefault="004009F5" w:rsidP="004009F5">
            <w:pPr>
              <w:pStyle w:val="TableText"/>
              <w:ind w:right="0"/>
              <w:jc w:val="both"/>
            </w:pPr>
            <w:r w:rsidRPr="004009F5"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  <w:gridSpan w:val="2"/>
          </w:tcPr>
          <w:p w:rsidR="002304E0" w:rsidRPr="004009F5" w:rsidRDefault="002304E0" w:rsidP="004009F5">
            <w:pPr>
              <w:pStyle w:val="TableBlock"/>
            </w:pPr>
            <w:r w:rsidRPr="004009F5">
              <w:rPr>
                <w:rtl/>
              </w:rPr>
              <w:t xml:space="preserve">בחוק דמי מחלה (היעדרות בשל מחלת ילד), </w:t>
            </w:r>
            <w:proofErr w:type="spellStart"/>
            <w:r w:rsidRPr="004009F5">
              <w:rPr>
                <w:rtl/>
              </w:rPr>
              <w:t>התשנ"ג</w:t>
            </w:r>
            <w:proofErr w:type="spellEnd"/>
            <w:r w:rsidRPr="004009F5">
              <w:rPr>
                <w:rtl/>
              </w:rPr>
              <w:t>–1993</w:t>
            </w:r>
            <w:r w:rsidRPr="004009F5">
              <w:rPr>
                <w:vertAlign w:val="superscript"/>
                <w:rtl/>
              </w:rPr>
              <w:footnoteReference w:id="2"/>
            </w:r>
            <w:r w:rsidRPr="004009F5">
              <w:rPr>
                <w:rFonts w:hint="cs"/>
                <w:rtl/>
              </w:rPr>
              <w:t>, בסעיף 1א –</w:t>
            </w:r>
          </w:p>
        </w:tc>
      </w:tr>
      <w:tr w:rsidR="002304E0" w:rsidTr="004009F5">
        <w:trPr>
          <w:cantSplit/>
          <w:trHeight w:val="60"/>
        </w:trPr>
        <w:tc>
          <w:tcPr>
            <w:tcW w:w="1871" w:type="dxa"/>
          </w:tcPr>
          <w:p w:rsidR="002304E0" w:rsidRDefault="002304E0" w:rsidP="00326374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2304E0" w:rsidRDefault="002304E0" w:rsidP="00326374">
            <w:pPr>
              <w:pStyle w:val="TableText"/>
            </w:pPr>
          </w:p>
        </w:tc>
        <w:tc>
          <w:tcPr>
            <w:tcW w:w="7146" w:type="dxa"/>
            <w:gridSpan w:val="2"/>
          </w:tcPr>
          <w:p w:rsidR="002304E0" w:rsidRPr="004009F5" w:rsidRDefault="00F05C2B" w:rsidP="00F05C2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="002304E0" w:rsidRPr="004009F5">
              <w:rPr>
                <w:rFonts w:hint="cs"/>
                <w:rtl/>
              </w:rPr>
              <w:t>בכותרת השוליים, במקום "מחלה ממארת" יבוא "מחלה קשה";</w:t>
            </w:r>
          </w:p>
        </w:tc>
      </w:tr>
      <w:tr w:rsidR="002304E0" w:rsidTr="004009F5">
        <w:trPr>
          <w:cantSplit/>
          <w:trHeight w:val="60"/>
        </w:trPr>
        <w:tc>
          <w:tcPr>
            <w:tcW w:w="1871" w:type="dxa"/>
          </w:tcPr>
          <w:p w:rsidR="002304E0" w:rsidRDefault="002304E0" w:rsidP="00326374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2304E0" w:rsidRDefault="002304E0" w:rsidP="00326374">
            <w:pPr>
              <w:pStyle w:val="TableText"/>
            </w:pPr>
          </w:p>
        </w:tc>
        <w:tc>
          <w:tcPr>
            <w:tcW w:w="7146" w:type="dxa"/>
            <w:gridSpan w:val="2"/>
          </w:tcPr>
          <w:p w:rsidR="002304E0" w:rsidRPr="004009F5" w:rsidRDefault="00F05C2B" w:rsidP="004009F5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 w:rsidR="002304E0" w:rsidRPr="004009F5">
              <w:rPr>
                <w:rFonts w:hint="cs"/>
                <w:rtl/>
              </w:rPr>
              <w:t>בסעיף קטן (א)</w:t>
            </w:r>
            <w:r w:rsidR="00217675">
              <w:rPr>
                <w:rFonts w:hint="cs"/>
                <w:rtl/>
              </w:rPr>
              <w:t>,</w:t>
            </w:r>
            <w:r w:rsidR="002304E0" w:rsidRPr="004009F5">
              <w:rPr>
                <w:rFonts w:hint="cs"/>
                <w:rtl/>
              </w:rPr>
              <w:t xml:space="preserve"> בכל מקום, במקום "המחלה הממארת" יבוא </w:t>
            </w:r>
            <w:r w:rsidR="00327D25">
              <w:rPr>
                <w:rFonts w:hint="cs"/>
                <w:rtl/>
              </w:rPr>
              <w:t>"</w:t>
            </w:r>
            <w:r w:rsidR="002304E0" w:rsidRPr="004009F5">
              <w:rPr>
                <w:rFonts w:hint="cs"/>
                <w:rtl/>
              </w:rPr>
              <w:t>מחלה קשה";</w:t>
            </w:r>
          </w:p>
        </w:tc>
      </w:tr>
      <w:tr w:rsidR="002304E0" w:rsidTr="004009F5">
        <w:trPr>
          <w:cantSplit/>
          <w:trHeight w:val="60"/>
        </w:trPr>
        <w:tc>
          <w:tcPr>
            <w:tcW w:w="1871" w:type="dxa"/>
          </w:tcPr>
          <w:p w:rsidR="002304E0" w:rsidRDefault="002304E0" w:rsidP="00326374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2304E0" w:rsidRDefault="002304E0" w:rsidP="00326374">
            <w:pPr>
              <w:pStyle w:val="TableText"/>
            </w:pPr>
          </w:p>
        </w:tc>
        <w:tc>
          <w:tcPr>
            <w:tcW w:w="7146" w:type="dxa"/>
            <w:gridSpan w:val="2"/>
          </w:tcPr>
          <w:p w:rsidR="002304E0" w:rsidRPr="004009F5" w:rsidRDefault="00327D25" w:rsidP="004009F5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 w:rsidR="002304E0" w:rsidRPr="004009F5">
              <w:rPr>
                <w:rFonts w:hint="cs"/>
                <w:rtl/>
              </w:rPr>
              <w:t>אחרי סעיף קטן (ב) יבוא:</w:t>
            </w:r>
          </w:p>
        </w:tc>
      </w:tr>
      <w:tr w:rsidR="002304E0" w:rsidTr="004009F5">
        <w:trPr>
          <w:cantSplit/>
          <w:trHeight w:val="60"/>
        </w:trPr>
        <w:tc>
          <w:tcPr>
            <w:tcW w:w="1871" w:type="dxa"/>
          </w:tcPr>
          <w:p w:rsidR="002304E0" w:rsidRDefault="002304E0" w:rsidP="00326374">
            <w:pPr>
              <w:pStyle w:val="TableSideHeading"/>
            </w:pPr>
          </w:p>
        </w:tc>
        <w:tc>
          <w:tcPr>
            <w:tcW w:w="624" w:type="dxa"/>
          </w:tcPr>
          <w:p w:rsidR="002304E0" w:rsidRDefault="002304E0" w:rsidP="00326374">
            <w:pPr>
              <w:pStyle w:val="TableText"/>
            </w:pPr>
          </w:p>
        </w:tc>
        <w:tc>
          <w:tcPr>
            <w:tcW w:w="624" w:type="dxa"/>
          </w:tcPr>
          <w:p w:rsidR="002304E0" w:rsidRPr="004009F5" w:rsidRDefault="002304E0" w:rsidP="004009F5">
            <w:pPr>
              <w:pStyle w:val="TableBlock"/>
            </w:pPr>
          </w:p>
        </w:tc>
        <w:tc>
          <w:tcPr>
            <w:tcW w:w="6522" w:type="dxa"/>
          </w:tcPr>
          <w:p w:rsidR="002304E0" w:rsidRPr="004009F5" w:rsidRDefault="002304E0" w:rsidP="00217675">
            <w:pPr>
              <w:pStyle w:val="TableBlock"/>
            </w:pPr>
            <w:r w:rsidRPr="004009F5">
              <w:rPr>
                <w:rFonts w:hint="cs"/>
                <w:rtl/>
              </w:rPr>
              <w:t>"(ג)</w:t>
            </w:r>
            <w:r w:rsidRPr="004009F5">
              <w:rPr>
                <w:rtl/>
              </w:rPr>
              <w:tab/>
            </w:r>
            <w:r w:rsidRPr="004009F5">
              <w:rPr>
                <w:rFonts w:hint="cs"/>
                <w:rtl/>
              </w:rPr>
              <w:t>לעניין סעיף זה, "מחלה קשה" – מחלה ממארת, מחלה שמצריכה טיפול קבוע בדיאליזה</w:t>
            </w:r>
            <w:r w:rsidR="00E1789D">
              <w:rPr>
                <w:rFonts w:hint="cs"/>
                <w:rtl/>
              </w:rPr>
              <w:t xml:space="preserve">, </w:t>
            </w:r>
            <w:r w:rsidRPr="004009F5">
              <w:rPr>
                <w:rFonts w:hint="cs"/>
                <w:rtl/>
              </w:rPr>
              <w:t>או מחלה אחרת שקבע שר הכלכלה</w:t>
            </w:r>
            <w:r w:rsidR="00217675" w:rsidRPr="004009F5">
              <w:rPr>
                <w:rFonts w:hint="cs"/>
                <w:rtl/>
              </w:rPr>
              <w:t xml:space="preserve"> בצו</w:t>
            </w:r>
            <w:r w:rsidRPr="004009F5">
              <w:rPr>
                <w:rFonts w:hint="cs"/>
                <w:rtl/>
              </w:rPr>
              <w:t>, בהתייעצות עם שר הבריאות ובאישור ועדת העבודה הרווחה והבריאות של הכנסת</w:t>
            </w:r>
            <w:r w:rsidR="00E1789D">
              <w:rPr>
                <w:rFonts w:hint="cs"/>
                <w:rtl/>
              </w:rPr>
              <w:t>.</w:t>
            </w:r>
            <w:r w:rsidR="00217675">
              <w:rPr>
                <w:rFonts w:hint="cs"/>
                <w:rtl/>
              </w:rPr>
              <w:t>"</w:t>
            </w:r>
          </w:p>
        </w:tc>
      </w:tr>
    </w:tbl>
    <w:p w:rsidR="00E13C27" w:rsidRPr="004009F5" w:rsidRDefault="00E13C27" w:rsidP="004009F5">
      <w:pPr>
        <w:pStyle w:val="HeadDivreiHesber"/>
        <w:rPr>
          <w:rtl/>
        </w:rPr>
      </w:pPr>
      <w:r w:rsidRPr="004009F5">
        <w:rPr>
          <w:rFonts w:hint="cs"/>
          <w:rtl/>
        </w:rPr>
        <w:t>דברי הסבר</w:t>
      </w:r>
    </w:p>
    <w:p w:rsidR="00CD3F3F" w:rsidRPr="004009F5" w:rsidRDefault="002304E0" w:rsidP="00B91C63">
      <w:pPr>
        <w:pStyle w:val="Hesber"/>
        <w:rPr>
          <w:rtl/>
        </w:rPr>
      </w:pPr>
      <w:r w:rsidRPr="004009F5">
        <w:rPr>
          <w:rFonts w:hint="cs"/>
          <w:rtl/>
        </w:rPr>
        <w:t>חוק דמי מחלה</w:t>
      </w:r>
      <w:r w:rsidR="00B91C63">
        <w:rPr>
          <w:rFonts w:hint="cs"/>
          <w:rtl/>
        </w:rPr>
        <w:t xml:space="preserve"> (היעדרות בשל מחלת ילד),</w:t>
      </w:r>
      <w:r w:rsidRPr="004009F5">
        <w:rPr>
          <w:rFonts w:hint="cs"/>
          <w:rtl/>
        </w:rPr>
        <w:t xml:space="preserve"> </w:t>
      </w:r>
      <w:proofErr w:type="spellStart"/>
      <w:r w:rsidRPr="004009F5">
        <w:rPr>
          <w:rFonts w:hint="cs"/>
          <w:rtl/>
        </w:rPr>
        <w:t>התשנ"ג</w:t>
      </w:r>
      <w:proofErr w:type="spellEnd"/>
      <w:r w:rsidR="00B91C63">
        <w:rPr>
          <w:rFonts w:hint="eastAsia"/>
          <w:rtl/>
        </w:rPr>
        <w:t>–</w:t>
      </w:r>
      <w:r w:rsidRPr="004009F5">
        <w:rPr>
          <w:rFonts w:hint="cs"/>
          <w:rtl/>
        </w:rPr>
        <w:t>1993</w:t>
      </w:r>
      <w:r w:rsidR="00DB5314">
        <w:rPr>
          <w:rFonts w:hint="cs"/>
          <w:rtl/>
        </w:rPr>
        <w:t xml:space="preserve"> (להלן – החוק)</w:t>
      </w:r>
      <w:r w:rsidR="00B91C63">
        <w:rPr>
          <w:rFonts w:hint="cs"/>
          <w:rtl/>
        </w:rPr>
        <w:t>,</w:t>
      </w:r>
      <w:r w:rsidRPr="004009F5">
        <w:rPr>
          <w:rFonts w:hint="cs"/>
          <w:rtl/>
        </w:rPr>
        <w:t xml:space="preserve"> </w:t>
      </w:r>
      <w:r w:rsidR="00B91C63">
        <w:rPr>
          <w:rFonts w:hint="cs"/>
          <w:rtl/>
        </w:rPr>
        <w:t xml:space="preserve">מאפשר </w:t>
      </w:r>
      <w:r w:rsidRPr="004009F5">
        <w:rPr>
          <w:rFonts w:hint="cs"/>
          <w:rtl/>
        </w:rPr>
        <w:t xml:space="preserve">להורה לילד </w:t>
      </w:r>
      <w:r w:rsidR="00CD3F3F" w:rsidRPr="004009F5">
        <w:rPr>
          <w:rFonts w:hint="cs"/>
          <w:rtl/>
        </w:rPr>
        <w:t>ה</w:t>
      </w:r>
      <w:r w:rsidRPr="004009F5">
        <w:rPr>
          <w:rFonts w:hint="cs"/>
          <w:rtl/>
        </w:rPr>
        <w:t>חולה במחלה ממארת</w:t>
      </w:r>
      <w:r w:rsidR="00B91C63">
        <w:rPr>
          <w:rFonts w:hint="cs"/>
          <w:rtl/>
        </w:rPr>
        <w:t xml:space="preserve"> לזקוף, על חשבון תקופת המחלה הצבורה שלו</w:t>
      </w:r>
      <w:r w:rsidR="00327D25">
        <w:rPr>
          <w:rFonts w:hint="cs"/>
          <w:rtl/>
        </w:rPr>
        <w:t>, או על חשבון ימי החופשה המגיעים לו</w:t>
      </w:r>
      <w:r w:rsidR="00B91C63">
        <w:rPr>
          <w:rFonts w:hint="cs"/>
          <w:rtl/>
        </w:rPr>
        <w:t>, עד</w:t>
      </w:r>
      <w:r w:rsidRPr="004009F5">
        <w:rPr>
          <w:rFonts w:hint="cs"/>
          <w:rtl/>
        </w:rPr>
        <w:t xml:space="preserve"> 90 ימי היעדרות מעבודתו</w:t>
      </w:r>
      <w:r w:rsidR="00B91C63">
        <w:rPr>
          <w:rFonts w:hint="cs"/>
          <w:rtl/>
        </w:rPr>
        <w:t xml:space="preserve"> בשנה</w:t>
      </w:r>
      <w:r w:rsidR="00CD3F3F" w:rsidRPr="004009F5">
        <w:rPr>
          <w:rFonts w:hint="cs"/>
          <w:rtl/>
        </w:rPr>
        <w:t>,</w:t>
      </w:r>
      <w:r w:rsidRPr="004009F5">
        <w:rPr>
          <w:rFonts w:hint="cs"/>
          <w:rtl/>
        </w:rPr>
        <w:t xml:space="preserve"> בהתחשב בכך שישנו צורך </w:t>
      </w:r>
      <w:r w:rsidR="00CD3F3F" w:rsidRPr="004009F5">
        <w:rPr>
          <w:rFonts w:hint="cs"/>
          <w:rtl/>
        </w:rPr>
        <w:t>מוגבר</w:t>
      </w:r>
      <w:r w:rsidRPr="004009F5">
        <w:rPr>
          <w:rFonts w:hint="cs"/>
          <w:rtl/>
        </w:rPr>
        <w:t xml:space="preserve"> בשהיי</w:t>
      </w:r>
      <w:r w:rsidR="00CD3F3F" w:rsidRPr="004009F5">
        <w:rPr>
          <w:rFonts w:hint="cs"/>
          <w:rtl/>
        </w:rPr>
        <w:t>ת ההורה לצד ילדו שנמצא במצב קשה.</w:t>
      </w:r>
    </w:p>
    <w:p w:rsidR="00217675" w:rsidRDefault="00CD3F3F" w:rsidP="00327D25">
      <w:pPr>
        <w:pStyle w:val="Hesber"/>
        <w:rPr>
          <w:rtl/>
        </w:rPr>
      </w:pPr>
      <w:r w:rsidRPr="004009F5">
        <w:rPr>
          <w:rFonts w:hint="cs"/>
          <w:rtl/>
        </w:rPr>
        <w:t xml:space="preserve">   </w:t>
      </w:r>
    </w:p>
    <w:p w:rsidR="002304E0" w:rsidRPr="004009F5" w:rsidRDefault="00CD3F3F" w:rsidP="00217675">
      <w:pPr>
        <w:pStyle w:val="Hesber"/>
        <w:rPr>
          <w:rtl/>
        </w:rPr>
      </w:pPr>
      <w:r w:rsidRPr="004009F5">
        <w:rPr>
          <w:rFonts w:hint="cs"/>
          <w:rtl/>
        </w:rPr>
        <w:t>הורים לילדים ה</w:t>
      </w:r>
      <w:r w:rsidR="002304E0" w:rsidRPr="004009F5">
        <w:rPr>
          <w:rFonts w:hint="cs"/>
          <w:rtl/>
        </w:rPr>
        <w:t>חולים במחלה קשה של אי ספיק</w:t>
      </w:r>
      <w:r w:rsidRPr="004009F5">
        <w:rPr>
          <w:rFonts w:hint="cs"/>
          <w:rtl/>
        </w:rPr>
        <w:t xml:space="preserve">ת כליות </w:t>
      </w:r>
      <w:r w:rsidR="00DB5314">
        <w:rPr>
          <w:rFonts w:hint="cs"/>
          <w:rtl/>
        </w:rPr>
        <w:t>כרונית (בטיפול דיאליזה)</w:t>
      </w:r>
      <w:r w:rsidR="00327D25">
        <w:rPr>
          <w:rFonts w:hint="cs"/>
          <w:rtl/>
        </w:rPr>
        <w:t xml:space="preserve">, אשר נקבעה </w:t>
      </w:r>
      <w:r w:rsidR="00DB5314">
        <w:rPr>
          <w:rFonts w:hint="cs"/>
          <w:rtl/>
        </w:rPr>
        <w:t xml:space="preserve">לפי </w:t>
      </w:r>
      <w:r w:rsidR="002304E0" w:rsidRPr="004009F5">
        <w:rPr>
          <w:rFonts w:hint="cs"/>
          <w:rtl/>
        </w:rPr>
        <w:t xml:space="preserve">חוק </w:t>
      </w:r>
      <w:r w:rsidR="00217675">
        <w:rPr>
          <w:rFonts w:hint="cs"/>
          <w:rtl/>
        </w:rPr>
        <w:t xml:space="preserve"> ביטוח </w:t>
      </w:r>
      <w:r w:rsidR="002304E0" w:rsidRPr="004009F5">
        <w:rPr>
          <w:rFonts w:hint="cs"/>
          <w:rtl/>
        </w:rPr>
        <w:t>בריאות ממלכתי</w:t>
      </w:r>
      <w:r w:rsidR="00DB5314">
        <w:rPr>
          <w:rFonts w:hint="cs"/>
          <w:rtl/>
        </w:rPr>
        <w:t xml:space="preserve">, </w:t>
      </w:r>
      <w:proofErr w:type="spellStart"/>
      <w:r w:rsidR="00DB5314">
        <w:rPr>
          <w:rFonts w:hint="cs"/>
          <w:rtl/>
        </w:rPr>
        <w:t>התשנ"ד</w:t>
      </w:r>
      <w:proofErr w:type="spellEnd"/>
      <w:r w:rsidR="00DB5314">
        <w:rPr>
          <w:rFonts w:hint="cs"/>
          <w:rtl/>
        </w:rPr>
        <w:t>–1994,</w:t>
      </w:r>
      <w:r w:rsidR="002304E0" w:rsidRPr="004009F5">
        <w:rPr>
          <w:rFonts w:hint="cs"/>
          <w:rtl/>
        </w:rPr>
        <w:t xml:space="preserve"> כאחת מחמש "המחלות הקשות", </w:t>
      </w:r>
      <w:r w:rsidRPr="004009F5">
        <w:rPr>
          <w:rFonts w:hint="cs"/>
          <w:rtl/>
        </w:rPr>
        <w:t>נדרשים לה</w:t>
      </w:r>
      <w:r w:rsidR="00217675">
        <w:rPr>
          <w:rFonts w:hint="cs"/>
          <w:rtl/>
        </w:rPr>
        <w:t>י</w:t>
      </w:r>
      <w:r w:rsidRPr="004009F5">
        <w:rPr>
          <w:rFonts w:hint="cs"/>
          <w:rtl/>
        </w:rPr>
        <w:t>עדר לעיתים תכופות ממקום עבודתם, עקב כך שילדם נזקק</w:t>
      </w:r>
      <w:r w:rsidR="002304E0" w:rsidRPr="004009F5">
        <w:rPr>
          <w:rFonts w:hint="cs"/>
          <w:rtl/>
        </w:rPr>
        <w:t xml:space="preserve"> לטיפול מ</w:t>
      </w:r>
      <w:r w:rsidR="00217675">
        <w:rPr>
          <w:rFonts w:hint="cs"/>
          <w:rtl/>
        </w:rPr>
        <w:t>סיבי של דיאליזה 3-4 פעמים בשבוע.</w:t>
      </w:r>
      <w:r w:rsidR="002304E0" w:rsidRPr="004009F5">
        <w:rPr>
          <w:rFonts w:hint="cs"/>
          <w:rtl/>
        </w:rPr>
        <w:t xml:space="preserve"> טי</w:t>
      </w:r>
      <w:r w:rsidR="00217675">
        <w:rPr>
          <w:rFonts w:hint="cs"/>
          <w:rtl/>
        </w:rPr>
        <w:t>פול זה הוא</w:t>
      </w:r>
      <w:r w:rsidR="002304E0" w:rsidRPr="004009F5">
        <w:rPr>
          <w:rFonts w:hint="cs"/>
          <w:rtl/>
        </w:rPr>
        <w:t xml:space="preserve"> טיפול קשה ובשל מורכבותו ואי הנעימות הכרוכה בו הכרחי שאחד מההורים ילווה את הילד בזמן הטיפול</w:t>
      </w:r>
      <w:r w:rsidR="00DB5314">
        <w:rPr>
          <w:rFonts w:hint="cs"/>
          <w:rtl/>
        </w:rPr>
        <w:t>.</w:t>
      </w:r>
    </w:p>
    <w:p w:rsidR="002304E0" w:rsidRPr="004009F5" w:rsidRDefault="002304E0" w:rsidP="00217675">
      <w:pPr>
        <w:pStyle w:val="Hesber"/>
        <w:rPr>
          <w:rtl/>
        </w:rPr>
      </w:pPr>
      <w:r w:rsidRPr="004009F5">
        <w:rPr>
          <w:rFonts w:hint="cs"/>
          <w:rtl/>
        </w:rPr>
        <w:t xml:space="preserve"> טיפולים אלו מצילי חיים והם חייבים לעבור אותם עד שיעברו השתלת כליה</w:t>
      </w:r>
      <w:r w:rsidR="00DB5314">
        <w:rPr>
          <w:rFonts w:hint="cs"/>
          <w:rtl/>
        </w:rPr>
        <w:t>.</w:t>
      </w:r>
      <w:r w:rsidRPr="004009F5">
        <w:rPr>
          <w:rFonts w:hint="cs"/>
          <w:rtl/>
        </w:rPr>
        <w:t xml:space="preserve"> </w:t>
      </w:r>
    </w:p>
    <w:p w:rsidR="002304E0" w:rsidRDefault="00DB5314" w:rsidP="00327D25">
      <w:pPr>
        <w:pStyle w:val="Hesber"/>
        <w:rPr>
          <w:rtl/>
        </w:rPr>
      </w:pPr>
      <w:r>
        <w:rPr>
          <w:rFonts w:hint="cs"/>
          <w:rtl/>
        </w:rPr>
        <w:t xml:space="preserve">לאור האמור, </w:t>
      </w:r>
      <w:r w:rsidR="002304E0" w:rsidRPr="004009F5">
        <w:rPr>
          <w:rFonts w:hint="cs"/>
          <w:rtl/>
        </w:rPr>
        <w:t xml:space="preserve">מוצע </w:t>
      </w:r>
      <w:r>
        <w:rPr>
          <w:rFonts w:hint="cs"/>
          <w:rtl/>
        </w:rPr>
        <w:t xml:space="preserve">לקבוע כי הוראות סעיף 1א לחוק, המעניקות זכאות </w:t>
      </w:r>
      <w:r w:rsidRPr="00DB5314">
        <w:rPr>
          <w:rtl/>
        </w:rPr>
        <w:t>לזקוף עד 90 ימים בשנה של היעדרות</w:t>
      </w:r>
      <w:r>
        <w:rPr>
          <w:rFonts w:hint="cs"/>
          <w:rtl/>
        </w:rPr>
        <w:t xml:space="preserve">, בשל מחלת ילד, יחולו גם על </w:t>
      </w:r>
      <w:r w:rsidR="00327D25">
        <w:rPr>
          <w:rFonts w:hint="cs"/>
          <w:rtl/>
        </w:rPr>
        <w:t xml:space="preserve">מחלה המצריכה </w:t>
      </w:r>
      <w:r w:rsidRPr="00DB5314">
        <w:rPr>
          <w:rtl/>
        </w:rPr>
        <w:t xml:space="preserve">טיפול </w:t>
      </w:r>
      <w:r w:rsidR="00327D25">
        <w:rPr>
          <w:rFonts w:hint="cs"/>
          <w:rtl/>
        </w:rPr>
        <w:t>קבוע ב</w:t>
      </w:r>
      <w:r w:rsidRPr="00DB5314">
        <w:rPr>
          <w:rtl/>
        </w:rPr>
        <w:t>דיאליזה</w:t>
      </w:r>
      <w:r>
        <w:rPr>
          <w:rFonts w:hint="cs"/>
          <w:rtl/>
        </w:rPr>
        <w:t>, בנוסף ל</w:t>
      </w:r>
      <w:r w:rsidR="00327D25">
        <w:rPr>
          <w:rFonts w:hint="cs"/>
          <w:rtl/>
        </w:rPr>
        <w:t xml:space="preserve">תחולה לגבי </w:t>
      </w:r>
      <w:r>
        <w:rPr>
          <w:rFonts w:hint="cs"/>
          <w:rtl/>
        </w:rPr>
        <w:t xml:space="preserve">מחלה ממארת. עוד מוצע לקבוע כי </w:t>
      </w:r>
      <w:r w:rsidRPr="00DB5314">
        <w:rPr>
          <w:rtl/>
        </w:rPr>
        <w:t>שר הכלכלה, בהתייעצות עם שר הבריאות ובאישור ועדת העבודה הרווחה והבריאות של הכנסת</w:t>
      </w:r>
      <w:r>
        <w:rPr>
          <w:rFonts w:hint="cs"/>
          <w:rtl/>
        </w:rPr>
        <w:t>, יוכל לקבוע בצו מחלות נוספות לעניין זה.</w:t>
      </w:r>
    </w:p>
    <w:p w:rsidR="00217675" w:rsidRDefault="00217675" w:rsidP="00327D25">
      <w:pPr>
        <w:pStyle w:val="Hesber"/>
        <w:rPr>
          <w:rtl/>
        </w:rPr>
      </w:pPr>
    </w:p>
    <w:p w:rsidR="00217675" w:rsidRDefault="00217675" w:rsidP="00327D25">
      <w:pPr>
        <w:pStyle w:val="Hesber"/>
        <w:rPr>
          <w:rtl/>
        </w:rPr>
      </w:pPr>
    </w:p>
    <w:p w:rsidR="00217675" w:rsidRDefault="00217675" w:rsidP="00327D25">
      <w:pPr>
        <w:pStyle w:val="Hesber"/>
        <w:rPr>
          <w:rtl/>
        </w:rPr>
      </w:pPr>
    </w:p>
    <w:p w:rsidR="00217675" w:rsidRDefault="00217675" w:rsidP="00327D25">
      <w:pPr>
        <w:pStyle w:val="Hesber"/>
        <w:rPr>
          <w:rtl/>
        </w:rPr>
      </w:pPr>
    </w:p>
    <w:p w:rsidR="00217675" w:rsidRDefault="00217675" w:rsidP="00217675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---------------------------------</w:t>
      </w:r>
    </w:p>
    <w:p w:rsidR="00217675" w:rsidRDefault="00217675" w:rsidP="00217675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הוגשה ליו"ר הכנסת והסגנים</w:t>
      </w:r>
    </w:p>
    <w:p w:rsidR="00217675" w:rsidRDefault="00217675" w:rsidP="00217675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והונחה על שולחן הכנסת ביום</w:t>
      </w:r>
    </w:p>
    <w:p w:rsidR="00217675" w:rsidRDefault="00217675" w:rsidP="00217675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ה' בשבט התשע"ד – 6.1.14</w:t>
      </w:r>
    </w:p>
    <w:p w:rsidR="00217675" w:rsidRDefault="00217675" w:rsidP="00217675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</w:p>
    <w:p w:rsidR="00217675" w:rsidRDefault="00217675" w:rsidP="00327D25">
      <w:pPr>
        <w:pStyle w:val="Hesber"/>
        <w:rPr>
          <w:rtl/>
        </w:rPr>
      </w:pPr>
    </w:p>
    <w:sectPr w:rsidR="00217675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CC" w:rsidRDefault="00CB29CC">
      <w:r>
        <w:separator/>
      </w:r>
    </w:p>
  </w:endnote>
  <w:endnote w:type="continuationSeparator" w:id="0">
    <w:p w:rsidR="00CB29CC" w:rsidRDefault="00CB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1A0623" w:rsidRDefault="001A06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D742D0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:rsidR="001A0623" w:rsidRDefault="001A0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CC" w:rsidRDefault="00CB29CC">
      <w:r>
        <w:separator/>
      </w:r>
    </w:p>
  </w:footnote>
  <w:footnote w:type="continuationSeparator" w:id="0">
    <w:p w:rsidR="00CB29CC" w:rsidRDefault="00CB29CC">
      <w:r>
        <w:continuationSeparator/>
      </w:r>
    </w:p>
  </w:footnote>
  <w:footnote w:type="continuationNotice" w:id="1">
    <w:p w:rsidR="00CB29CC" w:rsidRDefault="00CB29CC"/>
  </w:footnote>
  <w:footnote w:id="2">
    <w:p w:rsidR="002304E0" w:rsidRDefault="002304E0" w:rsidP="00F05C2B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 xml:space="preserve">"ח </w:t>
      </w:r>
      <w:proofErr w:type="spellStart"/>
      <w:r>
        <w:rPr>
          <w:rtl/>
        </w:rPr>
        <w:t>התשנ"ג</w:t>
      </w:r>
      <w:proofErr w:type="spellEnd"/>
      <w:r>
        <w:rPr>
          <w:rtl/>
        </w:rPr>
        <w:t>, עמ' 134.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43895lsCopyOriginal.docx"/>
    <w:docVar w:name="StartMode" w:val="2"/>
  </w:docVars>
  <w:rsids>
    <w:rsidRoot w:val="00DB7060"/>
    <w:rsid w:val="00015B27"/>
    <w:rsid w:val="00033CCF"/>
    <w:rsid w:val="00061D0A"/>
    <w:rsid w:val="000A542E"/>
    <w:rsid w:val="001207F8"/>
    <w:rsid w:val="00121924"/>
    <w:rsid w:val="001279A8"/>
    <w:rsid w:val="0014195F"/>
    <w:rsid w:val="0014778D"/>
    <w:rsid w:val="00152609"/>
    <w:rsid w:val="00153E1B"/>
    <w:rsid w:val="001904D4"/>
    <w:rsid w:val="001A0623"/>
    <w:rsid w:val="001C23B0"/>
    <w:rsid w:val="00203A7F"/>
    <w:rsid w:val="00217675"/>
    <w:rsid w:val="002200A1"/>
    <w:rsid w:val="002255A3"/>
    <w:rsid w:val="00225B50"/>
    <w:rsid w:val="002304E0"/>
    <w:rsid w:val="002362BF"/>
    <w:rsid w:val="00241B97"/>
    <w:rsid w:val="00254605"/>
    <w:rsid w:val="002728B4"/>
    <w:rsid w:val="00292712"/>
    <w:rsid w:val="002C2E29"/>
    <w:rsid w:val="003232A2"/>
    <w:rsid w:val="00327D25"/>
    <w:rsid w:val="003710F6"/>
    <w:rsid w:val="00386E88"/>
    <w:rsid w:val="003D74A0"/>
    <w:rsid w:val="003E343F"/>
    <w:rsid w:val="004009F5"/>
    <w:rsid w:val="004033D8"/>
    <w:rsid w:val="00423D2F"/>
    <w:rsid w:val="004D3876"/>
    <w:rsid w:val="004E4552"/>
    <w:rsid w:val="00553C9D"/>
    <w:rsid w:val="005723AB"/>
    <w:rsid w:val="00573E77"/>
    <w:rsid w:val="005A1B9E"/>
    <w:rsid w:val="005B064E"/>
    <w:rsid w:val="005D51AE"/>
    <w:rsid w:val="005E2C0F"/>
    <w:rsid w:val="00644940"/>
    <w:rsid w:val="006818A9"/>
    <w:rsid w:val="00693CDB"/>
    <w:rsid w:val="006C1D0D"/>
    <w:rsid w:val="006C3B94"/>
    <w:rsid w:val="006D1B6B"/>
    <w:rsid w:val="006E6F5E"/>
    <w:rsid w:val="0070601E"/>
    <w:rsid w:val="00730606"/>
    <w:rsid w:val="00765F66"/>
    <w:rsid w:val="007D5A12"/>
    <w:rsid w:val="007E59F9"/>
    <w:rsid w:val="00810BCD"/>
    <w:rsid w:val="00812C98"/>
    <w:rsid w:val="00814D92"/>
    <w:rsid w:val="00892135"/>
    <w:rsid w:val="00895449"/>
    <w:rsid w:val="00897879"/>
    <w:rsid w:val="008C2DDC"/>
    <w:rsid w:val="008F0D63"/>
    <w:rsid w:val="008F2C35"/>
    <w:rsid w:val="0091204F"/>
    <w:rsid w:val="009203DB"/>
    <w:rsid w:val="00943386"/>
    <w:rsid w:val="00957589"/>
    <w:rsid w:val="00982412"/>
    <w:rsid w:val="00985DA4"/>
    <w:rsid w:val="009901D1"/>
    <w:rsid w:val="00995004"/>
    <w:rsid w:val="00A1513D"/>
    <w:rsid w:val="00A26BD6"/>
    <w:rsid w:val="00A82CB7"/>
    <w:rsid w:val="00AC36F7"/>
    <w:rsid w:val="00AE18C6"/>
    <w:rsid w:val="00B35784"/>
    <w:rsid w:val="00B91C63"/>
    <w:rsid w:val="00B95203"/>
    <w:rsid w:val="00BA02C2"/>
    <w:rsid w:val="00BC45FB"/>
    <w:rsid w:val="00C9176A"/>
    <w:rsid w:val="00CB29CC"/>
    <w:rsid w:val="00CD3F3F"/>
    <w:rsid w:val="00CF6B73"/>
    <w:rsid w:val="00D057D9"/>
    <w:rsid w:val="00D12CB2"/>
    <w:rsid w:val="00D742D0"/>
    <w:rsid w:val="00D867D7"/>
    <w:rsid w:val="00DB5314"/>
    <w:rsid w:val="00DB7060"/>
    <w:rsid w:val="00DE3153"/>
    <w:rsid w:val="00E13C27"/>
    <w:rsid w:val="00E1789D"/>
    <w:rsid w:val="00E33BBD"/>
    <w:rsid w:val="00E45103"/>
    <w:rsid w:val="00E665B9"/>
    <w:rsid w:val="00EA01E6"/>
    <w:rsid w:val="00EA758F"/>
    <w:rsid w:val="00EC0280"/>
    <w:rsid w:val="00ED4A6F"/>
    <w:rsid w:val="00EF3A3A"/>
    <w:rsid w:val="00F05C2B"/>
    <w:rsid w:val="00F74745"/>
    <w:rsid w:val="00F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8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Noparagraphstyle"/>
    <w:rsid w:val="00943386"/>
    <w:pPr>
      <w:tabs>
        <w:tab w:val="left" w:pos="1191"/>
        <w:tab w:val="left" w:pos="1587"/>
      </w:tabs>
      <w:spacing w:before="240" w:after="240" w:line="480" w:lineRule="auto"/>
      <w:jc w:val="center"/>
    </w:pPr>
  </w:style>
  <w:style w:type="paragraph" w:customStyle="1" w:styleId="Cover2-HatzaotHok">
    <w:name w:val="Cover 2-HatzaotHok"/>
    <w:basedOn w:val="Cover1-Reshumot"/>
    <w:rsid w:val="00943386"/>
    <w:rPr>
      <w:sz w:val="36"/>
      <w:szCs w:val="52"/>
    </w:rPr>
  </w:style>
  <w:style w:type="paragraph" w:customStyle="1" w:styleId="Cover3-Haknesset">
    <w:name w:val="Cover 3-Haknesset"/>
    <w:basedOn w:val="Cover1-Reshumot"/>
    <w:rsid w:val="00943386"/>
    <w:rPr>
      <w:b/>
      <w:bCs/>
      <w:spacing w:val="60"/>
    </w:rPr>
  </w:style>
  <w:style w:type="paragraph" w:customStyle="1" w:styleId="Cover4-Date">
    <w:name w:val="Cover 4-Date"/>
    <w:basedOn w:val="Noparagraphstyle"/>
    <w:rsid w:val="00943386"/>
    <w:pPr>
      <w:pBdr>
        <w:bottom w:val="single" w:sz="4" w:space="0" w:color="auto"/>
      </w:pBdr>
      <w:tabs>
        <w:tab w:val="center" w:pos="4820"/>
        <w:tab w:val="right" w:pos="9639"/>
      </w:tabs>
      <w:spacing w:before="240" w:after="240"/>
    </w:p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paragraphstyle"/>
    <w:rsid w:val="00943386"/>
    <w:pPr>
      <w:keepNext/>
      <w:keepLines/>
      <w:pageBreakBefore/>
      <w:spacing w:before="480"/>
      <w:jc w:val="both"/>
    </w:pPr>
    <w:rPr>
      <w:b/>
      <w:bCs/>
    </w:rPr>
  </w:style>
  <w:style w:type="paragraph" w:customStyle="1" w:styleId="HeadHatzaotHok">
    <w:name w:val="Head HatzaotHok"/>
    <w:basedOn w:val="Noparagraphstyle"/>
    <w:rsid w:val="00943386"/>
    <w:pPr>
      <w:keepNext/>
      <w:keepLines/>
      <w:spacing w:before="240"/>
      <w:jc w:val="center"/>
    </w:pPr>
    <w:rPr>
      <w:b/>
      <w:bCs/>
    </w:rPr>
  </w:style>
  <w:style w:type="paragraph" w:customStyle="1" w:styleId="HeadHatzaotHok4Futer">
    <w:name w:val="Head HatzaotHok4Futer"/>
    <w:basedOn w:val="HeadHatzaotHok"/>
    <w:rsid w:val="00943386"/>
    <w:pPr>
      <w:spacing w:before="120" w:after="120"/>
    </w:pPr>
    <w:rPr>
      <w:color w:val="FF0000"/>
      <w:w w:val="80"/>
    </w:rPr>
  </w:style>
  <w:style w:type="paragraph" w:styleId="a3">
    <w:name w:val="endnote text"/>
    <w:basedOn w:val="Ragil"/>
    <w:semiHidden/>
    <w:rsid w:val="00943386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Ragil"/>
    <w:rsid w:val="00943386"/>
    <w:pPr>
      <w:keepLines/>
      <w:tabs>
        <w:tab w:val="left" w:pos="624"/>
        <w:tab w:val="left" w:pos="1247"/>
      </w:tabs>
      <w:ind w:right="57" w:firstLine="0"/>
    </w:pPr>
  </w:style>
  <w:style w:type="paragraph" w:customStyle="1" w:styleId="TableSideHeading">
    <w:name w:val="Table SideHeading"/>
    <w:basedOn w:val="TableText"/>
    <w:rsid w:val="00943386"/>
  </w:style>
  <w:style w:type="paragraph" w:customStyle="1" w:styleId="TableBlock">
    <w:name w:val="Table Block"/>
    <w:basedOn w:val="TableText"/>
    <w:rsid w:val="00943386"/>
    <w:pPr>
      <w:ind w:right="0"/>
      <w:jc w:val="both"/>
    </w:pPr>
  </w:style>
  <w:style w:type="paragraph" w:customStyle="1" w:styleId="TableHead">
    <w:name w:val="Table Head"/>
    <w:basedOn w:val="TableText"/>
    <w:rsid w:val="00943386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943386"/>
  </w:style>
  <w:style w:type="paragraph" w:customStyle="1" w:styleId="Hesber">
    <w:name w:val="Hesber"/>
    <w:basedOn w:val="Ragil"/>
    <w:rsid w:val="00943386"/>
    <w:pPr>
      <w:jc w:val="both"/>
    </w:pPr>
  </w:style>
  <w:style w:type="paragraph" w:styleId="a4">
    <w:name w:val="footnote text"/>
    <w:basedOn w:val="Ragil"/>
    <w:link w:val="a5"/>
    <w:autoRedefine/>
    <w:rsid w:val="00943386"/>
    <w:pPr>
      <w:spacing w:line="240" w:lineRule="auto"/>
      <w:ind w:left="227" w:hanging="227"/>
    </w:pPr>
    <w:rPr>
      <w:sz w:val="14"/>
      <w:szCs w:val="20"/>
    </w:rPr>
  </w:style>
  <w:style w:type="character" w:styleId="a6">
    <w:name w:val="footnote reference"/>
    <w:aliases w:val="Footnote Reference"/>
    <w:rsid w:val="00943386"/>
    <w:rPr>
      <w:vertAlign w:val="superscript"/>
    </w:rPr>
  </w:style>
  <w:style w:type="paragraph" w:customStyle="1" w:styleId="HesberHeading">
    <w:name w:val="Hesber Heading"/>
    <w:basedOn w:val="Hesber"/>
    <w:rsid w:val="00943386"/>
    <w:pPr>
      <w:keepNext/>
      <w:keepLines/>
      <w:spacing w:before="240"/>
      <w:ind w:firstLine="0"/>
    </w:pPr>
    <w:rPr>
      <w:b/>
      <w:bCs/>
    </w:rPr>
  </w:style>
  <w:style w:type="paragraph" w:customStyle="1" w:styleId="HesberWriters">
    <w:name w:val="Hesber Writers"/>
    <w:basedOn w:val="Hesber"/>
    <w:rsid w:val="00943386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943386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semiHidden/>
    <w:rsid w:val="00943386"/>
    <w:rPr>
      <w:vertAlign w:val="superscript"/>
    </w:rPr>
  </w:style>
  <w:style w:type="paragraph" w:customStyle="1" w:styleId="TableBlockOutdent">
    <w:name w:val="Table BlockOutdent"/>
    <w:basedOn w:val="TableBlock"/>
    <w:rsid w:val="00943386"/>
    <w:pPr>
      <w:ind w:left="624" w:hanging="624"/>
    </w:pPr>
  </w:style>
  <w:style w:type="paragraph" w:styleId="a8">
    <w:name w:val="header"/>
    <w:basedOn w:val="a"/>
    <w:rsid w:val="00943386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43386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Ragil"/>
    <w:rsid w:val="00943386"/>
    <w:pPr>
      <w:spacing w:before="360" w:after="120"/>
      <w:ind w:firstLine="0"/>
      <w:jc w:val="center"/>
    </w:pPr>
    <w:rPr>
      <w:b/>
      <w:spacing w:val="40"/>
    </w:rPr>
  </w:style>
  <w:style w:type="paragraph" w:customStyle="1" w:styleId="Ragil">
    <w:name w:val="Ragil"/>
    <w:basedOn w:val="Noparagraphstyle"/>
    <w:rsid w:val="00943386"/>
    <w:pPr>
      <w:ind w:firstLine="340"/>
    </w:p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1207F8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character" w:customStyle="1" w:styleId="a5">
    <w:name w:val="טקסט הערת שוליים תו"/>
    <w:basedOn w:val="a0"/>
    <w:link w:val="a4"/>
    <w:rsid w:val="002304E0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styleId="ac">
    <w:name w:val="Balloon Text"/>
    <w:basedOn w:val="a"/>
    <w:link w:val="ad"/>
    <w:semiHidden/>
    <w:unhideWhenUsed/>
    <w:rsid w:val="00B91C6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B91C63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styleId="ae">
    <w:name w:val="annotation reference"/>
    <w:basedOn w:val="a0"/>
    <w:semiHidden/>
    <w:unhideWhenUsed/>
    <w:rsid w:val="00F05C2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05C2B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F05C2B"/>
    <w:rPr>
      <w:rFonts w:ascii="Hadasa Roso SL" w:hAnsi="Hadasa Roso SL" w:cs="Hadasa Roso SL"/>
      <w:color w:val="000000"/>
      <w:spacing w:val="1"/>
      <w:lang w:eastAsia="ja-JP"/>
    </w:rPr>
  </w:style>
  <w:style w:type="paragraph" w:styleId="af1">
    <w:name w:val="annotation subject"/>
    <w:basedOn w:val="af"/>
    <w:next w:val="af"/>
    <w:link w:val="af2"/>
    <w:semiHidden/>
    <w:unhideWhenUsed/>
    <w:rsid w:val="00F05C2B"/>
    <w:rPr>
      <w:b/>
      <w:bCs/>
    </w:rPr>
  </w:style>
  <w:style w:type="character" w:customStyle="1" w:styleId="af2">
    <w:name w:val="נושא הערה תו"/>
    <w:basedOn w:val="af0"/>
    <w:link w:val="af1"/>
    <w:semiHidden/>
    <w:rsid w:val="00F05C2B"/>
    <w:rPr>
      <w:rFonts w:ascii="Hadasa Roso SL" w:hAnsi="Hadasa Roso SL" w:cs="Hadasa Roso SL"/>
      <w:b/>
      <w:bCs/>
      <w:color w:val="000000"/>
      <w:spacing w:val="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8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Noparagraphstyle"/>
    <w:rsid w:val="00943386"/>
    <w:pPr>
      <w:tabs>
        <w:tab w:val="left" w:pos="1191"/>
        <w:tab w:val="left" w:pos="1587"/>
      </w:tabs>
      <w:spacing w:before="240" w:after="240" w:line="480" w:lineRule="auto"/>
      <w:jc w:val="center"/>
    </w:pPr>
  </w:style>
  <w:style w:type="paragraph" w:customStyle="1" w:styleId="Cover2-HatzaotHok">
    <w:name w:val="Cover 2-HatzaotHok"/>
    <w:basedOn w:val="Cover1-Reshumot"/>
    <w:rsid w:val="00943386"/>
    <w:rPr>
      <w:sz w:val="36"/>
      <w:szCs w:val="52"/>
    </w:rPr>
  </w:style>
  <w:style w:type="paragraph" w:customStyle="1" w:styleId="Cover3-Haknesset">
    <w:name w:val="Cover 3-Haknesset"/>
    <w:basedOn w:val="Cover1-Reshumot"/>
    <w:rsid w:val="00943386"/>
    <w:rPr>
      <w:b/>
      <w:bCs/>
      <w:spacing w:val="60"/>
    </w:rPr>
  </w:style>
  <w:style w:type="paragraph" w:customStyle="1" w:styleId="Cover4-Date">
    <w:name w:val="Cover 4-Date"/>
    <w:basedOn w:val="Noparagraphstyle"/>
    <w:rsid w:val="00943386"/>
    <w:pPr>
      <w:pBdr>
        <w:bottom w:val="single" w:sz="4" w:space="0" w:color="auto"/>
      </w:pBdr>
      <w:tabs>
        <w:tab w:val="center" w:pos="4820"/>
        <w:tab w:val="right" w:pos="9639"/>
      </w:tabs>
      <w:spacing w:before="240" w:after="240"/>
    </w:p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paragraphstyle"/>
    <w:rsid w:val="00943386"/>
    <w:pPr>
      <w:keepNext/>
      <w:keepLines/>
      <w:pageBreakBefore/>
      <w:spacing w:before="480"/>
      <w:jc w:val="both"/>
    </w:pPr>
    <w:rPr>
      <w:b/>
      <w:bCs/>
    </w:rPr>
  </w:style>
  <w:style w:type="paragraph" w:customStyle="1" w:styleId="HeadHatzaotHok">
    <w:name w:val="Head HatzaotHok"/>
    <w:basedOn w:val="Noparagraphstyle"/>
    <w:rsid w:val="00943386"/>
    <w:pPr>
      <w:keepNext/>
      <w:keepLines/>
      <w:spacing w:before="240"/>
      <w:jc w:val="center"/>
    </w:pPr>
    <w:rPr>
      <w:b/>
      <w:bCs/>
    </w:rPr>
  </w:style>
  <w:style w:type="paragraph" w:customStyle="1" w:styleId="HeadHatzaotHok4Futer">
    <w:name w:val="Head HatzaotHok4Futer"/>
    <w:basedOn w:val="HeadHatzaotHok"/>
    <w:rsid w:val="00943386"/>
    <w:pPr>
      <w:spacing w:before="120" w:after="120"/>
    </w:pPr>
    <w:rPr>
      <w:color w:val="FF0000"/>
      <w:w w:val="80"/>
    </w:rPr>
  </w:style>
  <w:style w:type="paragraph" w:styleId="a3">
    <w:name w:val="endnote text"/>
    <w:basedOn w:val="Ragil"/>
    <w:semiHidden/>
    <w:rsid w:val="00943386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Ragil"/>
    <w:rsid w:val="00943386"/>
    <w:pPr>
      <w:keepLines/>
      <w:tabs>
        <w:tab w:val="left" w:pos="624"/>
        <w:tab w:val="left" w:pos="1247"/>
      </w:tabs>
      <w:ind w:right="57" w:firstLine="0"/>
    </w:pPr>
  </w:style>
  <w:style w:type="paragraph" w:customStyle="1" w:styleId="TableSideHeading">
    <w:name w:val="Table SideHeading"/>
    <w:basedOn w:val="TableText"/>
    <w:rsid w:val="00943386"/>
  </w:style>
  <w:style w:type="paragraph" w:customStyle="1" w:styleId="TableBlock">
    <w:name w:val="Table Block"/>
    <w:basedOn w:val="TableText"/>
    <w:rsid w:val="00943386"/>
    <w:pPr>
      <w:ind w:right="0"/>
      <w:jc w:val="both"/>
    </w:pPr>
  </w:style>
  <w:style w:type="paragraph" w:customStyle="1" w:styleId="TableHead">
    <w:name w:val="Table Head"/>
    <w:basedOn w:val="TableText"/>
    <w:rsid w:val="00943386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943386"/>
  </w:style>
  <w:style w:type="paragraph" w:customStyle="1" w:styleId="Hesber">
    <w:name w:val="Hesber"/>
    <w:basedOn w:val="Ragil"/>
    <w:rsid w:val="00943386"/>
    <w:pPr>
      <w:jc w:val="both"/>
    </w:pPr>
  </w:style>
  <w:style w:type="paragraph" w:styleId="a4">
    <w:name w:val="footnote text"/>
    <w:basedOn w:val="Ragil"/>
    <w:link w:val="a5"/>
    <w:autoRedefine/>
    <w:rsid w:val="00943386"/>
    <w:pPr>
      <w:spacing w:line="240" w:lineRule="auto"/>
      <w:ind w:left="227" w:hanging="227"/>
    </w:pPr>
    <w:rPr>
      <w:sz w:val="14"/>
      <w:szCs w:val="20"/>
    </w:rPr>
  </w:style>
  <w:style w:type="character" w:styleId="a6">
    <w:name w:val="footnote reference"/>
    <w:aliases w:val="Footnote Reference"/>
    <w:rsid w:val="00943386"/>
    <w:rPr>
      <w:vertAlign w:val="superscript"/>
    </w:rPr>
  </w:style>
  <w:style w:type="paragraph" w:customStyle="1" w:styleId="HesberHeading">
    <w:name w:val="Hesber Heading"/>
    <w:basedOn w:val="Hesber"/>
    <w:rsid w:val="00943386"/>
    <w:pPr>
      <w:keepNext/>
      <w:keepLines/>
      <w:spacing w:before="240"/>
      <w:ind w:firstLine="0"/>
    </w:pPr>
    <w:rPr>
      <w:b/>
      <w:bCs/>
    </w:rPr>
  </w:style>
  <w:style w:type="paragraph" w:customStyle="1" w:styleId="HesberWriters">
    <w:name w:val="Hesber Writers"/>
    <w:basedOn w:val="Hesber"/>
    <w:rsid w:val="00943386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943386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semiHidden/>
    <w:rsid w:val="00943386"/>
    <w:rPr>
      <w:vertAlign w:val="superscript"/>
    </w:rPr>
  </w:style>
  <w:style w:type="paragraph" w:customStyle="1" w:styleId="TableBlockOutdent">
    <w:name w:val="Table BlockOutdent"/>
    <w:basedOn w:val="TableBlock"/>
    <w:rsid w:val="00943386"/>
    <w:pPr>
      <w:ind w:left="624" w:hanging="624"/>
    </w:pPr>
  </w:style>
  <w:style w:type="paragraph" w:styleId="a8">
    <w:name w:val="header"/>
    <w:basedOn w:val="a"/>
    <w:rsid w:val="00943386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43386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Ragil"/>
    <w:rsid w:val="00943386"/>
    <w:pPr>
      <w:spacing w:before="360" w:after="120"/>
      <w:ind w:firstLine="0"/>
      <w:jc w:val="center"/>
    </w:pPr>
    <w:rPr>
      <w:b/>
      <w:spacing w:val="40"/>
    </w:rPr>
  </w:style>
  <w:style w:type="paragraph" w:customStyle="1" w:styleId="Ragil">
    <w:name w:val="Ragil"/>
    <w:basedOn w:val="Noparagraphstyle"/>
    <w:rsid w:val="00943386"/>
    <w:pPr>
      <w:ind w:firstLine="340"/>
    </w:p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1207F8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character" w:customStyle="1" w:styleId="a5">
    <w:name w:val="טקסט הערת שוליים תו"/>
    <w:basedOn w:val="a0"/>
    <w:link w:val="a4"/>
    <w:rsid w:val="002304E0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styleId="ac">
    <w:name w:val="Balloon Text"/>
    <w:basedOn w:val="a"/>
    <w:link w:val="ad"/>
    <w:semiHidden/>
    <w:unhideWhenUsed/>
    <w:rsid w:val="00B91C6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B91C63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styleId="ae">
    <w:name w:val="annotation reference"/>
    <w:basedOn w:val="a0"/>
    <w:semiHidden/>
    <w:unhideWhenUsed/>
    <w:rsid w:val="00F05C2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05C2B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F05C2B"/>
    <w:rPr>
      <w:rFonts w:ascii="Hadasa Roso SL" w:hAnsi="Hadasa Roso SL" w:cs="Hadasa Roso SL"/>
      <w:color w:val="000000"/>
      <w:spacing w:val="1"/>
      <w:lang w:eastAsia="ja-JP"/>
    </w:rPr>
  </w:style>
  <w:style w:type="paragraph" w:styleId="af1">
    <w:name w:val="annotation subject"/>
    <w:basedOn w:val="af"/>
    <w:next w:val="af"/>
    <w:link w:val="af2"/>
    <w:semiHidden/>
    <w:unhideWhenUsed/>
    <w:rsid w:val="00F05C2B"/>
    <w:rPr>
      <w:b/>
      <w:bCs/>
    </w:rPr>
  </w:style>
  <w:style w:type="character" w:customStyle="1" w:styleId="af2">
    <w:name w:val="נושא הערה תו"/>
    <w:basedOn w:val="af0"/>
    <w:link w:val="af1"/>
    <w:semiHidden/>
    <w:rsid w:val="00F05C2B"/>
    <w:rPr>
      <w:rFonts w:ascii="Hadasa Roso SL" w:hAnsi="Hadasa Roso SL" w:cs="Hadasa Roso SL"/>
      <w:b/>
      <w:bCs/>
      <w:color w:val="000000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8480BF-EC4E-406E-8656-400B9DDED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 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subject/>
  <dc:creator>דוד זוהר</dc:creator>
  <cp:keywords/>
  <dc:description/>
  <cp:lastModifiedBy>לילך יעיש</cp:lastModifiedBy>
  <cp:revision>2</cp:revision>
  <cp:lastPrinted>2014-01-01T11:43:00Z</cp:lastPrinted>
  <dcterms:created xsi:type="dcterms:W3CDTF">2014-01-01T11:44:00Z</dcterms:created>
  <dcterms:modified xsi:type="dcterms:W3CDTF">2014-01-01T11:44:00Z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