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A2" w:rsidRPr="002C5FA2" w:rsidRDefault="00D126A2" w:rsidP="00D126A2">
      <w:pPr>
        <w:pStyle w:val="HeadHatzaotHok"/>
        <w:jc w:val="right"/>
        <w:rPr>
          <w:b w:val="0"/>
          <w:bCs w:val="0"/>
          <w:szCs w:val="20"/>
        </w:rPr>
      </w:pPr>
      <w:r w:rsidRPr="002C5FA2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ItemID"/>
      <w:r w:rsidRPr="002C5FA2">
        <w:rPr>
          <w:b w:val="0"/>
          <w:bCs w:val="0"/>
          <w:szCs w:val="20"/>
          <w:rtl/>
        </w:rPr>
        <w:t>547111</w:t>
      </w:r>
      <w:bookmarkEnd w:id="0"/>
    </w:p>
    <w:p w:rsidR="00D126A2" w:rsidRDefault="00D126A2" w:rsidP="00D126A2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KnessetNum"/>
      <w:r w:rsidRPr="00627D88">
        <w:rPr>
          <w:sz w:val="28"/>
          <w:szCs w:val="28"/>
          <w:rtl/>
        </w:rPr>
        <w:t>התשע-עשרה</w:t>
      </w:r>
      <w:bookmarkEnd w:id="1"/>
    </w:p>
    <w:p w:rsidR="002C5FA2" w:rsidRPr="00DB7060" w:rsidRDefault="002C5FA2" w:rsidP="00D126A2">
      <w:pPr>
        <w:pStyle w:val="HeadHatzaotHok"/>
        <w:rPr>
          <w:sz w:val="28"/>
          <w:szCs w:val="28"/>
          <w:rtl/>
        </w:rPr>
      </w:pPr>
    </w:p>
    <w:p w:rsidR="00D126A2" w:rsidRPr="00837FC3" w:rsidRDefault="00D126A2" w:rsidP="00D126A2">
      <w:pPr>
        <w:pStyle w:val="David"/>
        <w:ind w:left="2880" w:firstLine="663"/>
        <w:rPr>
          <w:b/>
          <w:bCs/>
          <w:rtl/>
        </w:rPr>
      </w:pPr>
      <w:bookmarkStart w:id="2" w:name="MKsSingleOrMulti"/>
      <w:r w:rsidRPr="000316F6">
        <w:rPr>
          <w:b/>
          <w:bCs/>
          <w:rtl/>
        </w:rPr>
        <w:t>יוזם:           חבר הכנסת</w:t>
      </w:r>
      <w:bookmarkEnd w:id="2"/>
      <w:r w:rsidRPr="000316F6">
        <w:rPr>
          <w:b/>
          <w:bCs/>
        </w:rPr>
        <w:tab/>
      </w:r>
      <w:bookmarkStart w:id="3" w:name="MKs"/>
      <w:r w:rsidRPr="00837FC3">
        <w:rPr>
          <w:b/>
          <w:bCs/>
          <w:rtl/>
        </w:rPr>
        <w:t>חיים כץ</w:t>
      </w:r>
      <w:bookmarkEnd w:id="3"/>
    </w:p>
    <w:p w:rsidR="00D126A2" w:rsidRDefault="00D126A2" w:rsidP="00D126A2">
      <w:pPr>
        <w:ind w:firstLine="3543"/>
        <w:rPr>
          <w:rFonts w:cs="David"/>
          <w:sz w:val="26"/>
          <w:szCs w:val="2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5073" wp14:editId="4C3A2E02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3869690" cy="15875"/>
                <wp:effectExtent l="0" t="38100" r="0" b="4127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5875"/>
                        </a:xfrm>
                        <a:custGeom>
                          <a:avLst/>
                          <a:gdLst>
                            <a:gd name="T0" fmla="*/ 0 w 6094"/>
                            <a:gd name="T1" fmla="*/ 25 h 25"/>
                            <a:gd name="T2" fmla="*/ 6094 w 6094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4" h="25">
                              <a:moveTo>
                                <a:pt x="0" y="25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4.8pt,3.85pt" coordsize="60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" filled="f" stroked="f">
                <v:path arrowok="t" o:connecttype="custom" o:connectlocs="0,15875;3869690,0" o:connectangles="0,0"/>
              </v:polyline>
            </w:pict>
          </mc:Fallback>
        </mc:AlternateContent>
      </w:r>
      <w:bookmarkStart w:id="4" w:name="MKsSingleOrMulti1"/>
      <w:bookmarkEnd w:id="4"/>
      <w:r>
        <w:rPr>
          <w:rFonts w:cs="David" w:hint="cs"/>
          <w:sz w:val="26"/>
          <w:szCs w:val="26"/>
          <w:rtl/>
        </w:rPr>
        <w:tab/>
      </w:r>
      <w:bookmarkStart w:id="5" w:name="MKs1"/>
      <w:bookmarkEnd w:id="5"/>
    </w:p>
    <w:p w:rsidR="00D126A2" w:rsidRDefault="00D126A2" w:rsidP="00D126A2">
      <w:pPr>
        <w:ind w:left="2919" w:firstLine="720"/>
        <w:rPr>
          <w:rFonts w:cs="David"/>
          <w:sz w:val="26"/>
          <w:szCs w:val="26"/>
          <w:rtl/>
        </w:rPr>
      </w:pPr>
      <w:r>
        <w:rPr>
          <w:rFonts w:cs="David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E195" wp14:editId="02F20FB0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bookmarkStart w:id="6" w:name="LawNum"/>
      <w:r w:rsidR="003F0F51" w:rsidRPr="003F0F51">
        <w:rPr>
          <w:rFonts w:cs="David"/>
          <w:sz w:val="26"/>
          <w:szCs w:val="26"/>
          <w:rtl/>
        </w:rPr>
        <w:t>פ/2149/19</w:t>
      </w:r>
      <w:bookmarkEnd w:id="6"/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</w:p>
    <w:p w:rsidR="002C5FA2" w:rsidRDefault="002C5FA2" w:rsidP="00D126A2">
      <w:pPr>
        <w:ind w:left="2919" w:firstLine="720"/>
        <w:rPr>
          <w:rFonts w:cs="David"/>
          <w:sz w:val="26"/>
          <w:szCs w:val="26"/>
          <w:rtl/>
        </w:rPr>
      </w:pPr>
    </w:p>
    <w:p w:rsidR="00D126A2" w:rsidRPr="000316F6" w:rsidRDefault="00B77A44" w:rsidP="002C5FA2">
      <w:pPr>
        <w:pStyle w:val="HeadHatzaotHok"/>
        <w:tabs>
          <w:tab w:val="left" w:pos="4071"/>
          <w:tab w:val="center" w:pos="4819"/>
        </w:tabs>
        <w:spacing w:before="0"/>
        <w:rPr>
          <w:color w:val="auto"/>
          <w:sz w:val="26"/>
          <w:rtl/>
        </w:rPr>
      </w:pPr>
      <w:bookmarkStart w:id="7" w:name="Title"/>
      <w:r w:rsidRPr="00B77A44">
        <w:rPr>
          <w:color w:val="auto"/>
          <w:sz w:val="26"/>
          <w:rtl/>
        </w:rPr>
        <w:t xml:space="preserve">הצעת חוק שירות ביטחון (תיקון </w:t>
      </w:r>
      <w:r w:rsidR="002C5FA2">
        <w:rPr>
          <w:rFonts w:hint="cs"/>
          <w:color w:val="auto"/>
          <w:sz w:val="26"/>
          <w:rtl/>
        </w:rPr>
        <w:t>–</w:t>
      </w:r>
      <w:r w:rsidRPr="00B77A44">
        <w:rPr>
          <w:color w:val="auto"/>
          <w:sz w:val="26"/>
          <w:rtl/>
        </w:rPr>
        <w:t xml:space="preserve"> הגנה מפני עיקול ושיעבוד תשלומים לחיילים בשירות סדיר), התשע"ד</w:t>
      </w:r>
      <w:r w:rsidR="002C5FA2">
        <w:rPr>
          <w:rFonts w:hint="cs"/>
          <w:color w:val="auto"/>
          <w:sz w:val="26"/>
          <w:rtl/>
        </w:rPr>
        <w:t>–</w:t>
      </w:r>
      <w:r w:rsidRPr="00B77A44">
        <w:rPr>
          <w:color w:val="auto"/>
          <w:sz w:val="26"/>
          <w:rtl/>
        </w:rPr>
        <w:t>2014</w:t>
      </w:r>
      <w:bookmarkEnd w:id="7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624"/>
        <w:gridCol w:w="624"/>
        <w:gridCol w:w="624"/>
        <w:gridCol w:w="624"/>
        <w:gridCol w:w="624"/>
        <w:gridCol w:w="4649"/>
      </w:tblGrid>
      <w:tr w:rsidR="00D126A2" w:rsidRPr="006116CC" w:rsidTr="00CE18C6">
        <w:trPr>
          <w:cantSplit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126A2" w:rsidRPr="00837FC3" w:rsidRDefault="00D126A2" w:rsidP="00CE18C6">
            <w:pPr>
              <w:pStyle w:val="TableSideHeading"/>
            </w:pPr>
            <w:r>
              <w:rPr>
                <w:rFonts w:hint="cs"/>
                <w:rtl/>
              </w:rPr>
              <w:t xml:space="preserve">הוספת סעיף 45א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26A2" w:rsidRPr="00837FC3" w:rsidRDefault="00D126A2" w:rsidP="00CE18C6">
            <w:pPr>
              <w:pStyle w:val="TableText"/>
              <w:ind w:right="0"/>
              <w:jc w:val="both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6A2" w:rsidRPr="00B71B2B" w:rsidRDefault="00D126A2" w:rsidP="002C5FA2">
            <w:pPr>
              <w:pStyle w:val="Hesber"/>
              <w:ind w:firstLine="0"/>
              <w:rPr>
                <w:b/>
                <w:rtl/>
              </w:rPr>
            </w:pPr>
            <w:r>
              <w:rPr>
                <w:b/>
                <w:rtl/>
              </w:rPr>
              <w:t>בחוק שירות ב</w:t>
            </w:r>
            <w:r w:rsidR="002C5FA2">
              <w:rPr>
                <w:rFonts w:hint="cs"/>
                <w:b/>
                <w:rtl/>
              </w:rPr>
              <w:t>י</w:t>
            </w:r>
            <w:r>
              <w:rPr>
                <w:b/>
                <w:rtl/>
              </w:rPr>
              <w:t>טחון</w:t>
            </w:r>
            <w:r>
              <w:rPr>
                <w:rFonts w:hint="cs"/>
                <w:b/>
                <w:rtl/>
              </w:rPr>
              <w:t xml:space="preserve"> </w:t>
            </w:r>
            <w:r w:rsidRPr="006116CC">
              <w:rPr>
                <w:b/>
                <w:rtl/>
              </w:rPr>
              <w:t xml:space="preserve">[נוסח משולב], </w:t>
            </w:r>
            <w:proofErr w:type="spellStart"/>
            <w:r>
              <w:rPr>
                <w:rFonts w:hint="cs"/>
                <w:b/>
                <w:rtl/>
              </w:rPr>
              <w:t>ה</w:t>
            </w:r>
            <w:r w:rsidRPr="006116CC">
              <w:rPr>
                <w:b/>
                <w:rtl/>
              </w:rPr>
              <w:t>תשמ"ו</w:t>
            </w:r>
            <w:proofErr w:type="spellEnd"/>
            <w:r w:rsidR="002C5FA2">
              <w:rPr>
                <w:rFonts w:hint="cs"/>
                <w:b/>
                <w:rtl/>
              </w:rPr>
              <w:t>–</w:t>
            </w:r>
            <w:r w:rsidRPr="006116CC">
              <w:rPr>
                <w:b/>
                <w:rtl/>
              </w:rPr>
              <w:t>1986</w:t>
            </w:r>
            <w:r>
              <w:rPr>
                <w:rStyle w:val="a5"/>
                <w:b/>
                <w:rtl/>
              </w:rPr>
              <w:footnoteReference w:id="2"/>
            </w:r>
            <w:r>
              <w:rPr>
                <w:rFonts w:hint="cs"/>
                <w:b/>
                <w:rtl/>
              </w:rPr>
              <w:t>, אחרי סעיף 45  יבוא:</w:t>
            </w:r>
          </w:p>
        </w:tc>
      </w:tr>
      <w:tr w:rsidR="00D126A2" w:rsidTr="00CE18C6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69" w:type="dxa"/>
          </w:tcPr>
          <w:p w:rsidR="00D126A2" w:rsidRDefault="00D126A2" w:rsidP="00CE18C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:rsidR="00D126A2" w:rsidRDefault="00D126A2" w:rsidP="00CE18C6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="00D126A2" w:rsidRDefault="00D126A2" w:rsidP="00CE18C6">
            <w:pPr>
              <w:pStyle w:val="TableInnerSideHeading"/>
            </w:pPr>
            <w:r w:rsidRPr="006B0343">
              <w:rPr>
                <w:rtl/>
              </w:rPr>
              <w:t>"</w:t>
            </w:r>
            <w:r w:rsidRPr="006B0343">
              <w:rPr>
                <w:rFonts w:hint="cs"/>
                <w:rtl/>
              </w:rPr>
              <w:t xml:space="preserve">הגנה על תשלומים   </w:t>
            </w:r>
            <w:r w:rsidRPr="006B0343">
              <w:rPr>
                <w:rtl/>
              </w:rPr>
              <w:t xml:space="preserve">                                                                                                      </w:t>
            </w:r>
            <w:r w:rsidRPr="006B0343">
              <w:rPr>
                <w:rFonts w:hint="cs"/>
                <w:rtl/>
              </w:rPr>
              <w:t xml:space="preserve">  לחיילים</w:t>
            </w:r>
          </w:p>
        </w:tc>
        <w:tc>
          <w:tcPr>
            <w:tcW w:w="624" w:type="dxa"/>
          </w:tcPr>
          <w:p w:rsidR="00D126A2" w:rsidRDefault="00D126A2" w:rsidP="00CE18C6">
            <w:pPr>
              <w:pStyle w:val="TableText"/>
            </w:pPr>
            <w:r>
              <w:rPr>
                <w:rFonts w:hint="cs"/>
                <w:rtl/>
              </w:rPr>
              <w:t>45א.</w:t>
            </w:r>
          </w:p>
        </w:tc>
        <w:tc>
          <w:tcPr>
            <w:tcW w:w="4649" w:type="dxa"/>
          </w:tcPr>
          <w:p w:rsidR="00D126A2" w:rsidRDefault="00D126A2" w:rsidP="00CE18C6">
            <w:pPr>
              <w:pStyle w:val="TableBlock"/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 w:rsidRPr="00F7729A">
              <w:rPr>
                <w:rFonts w:hint="cs"/>
                <w:rtl/>
              </w:rPr>
              <w:t>תשלומים המשולמים לחייל בשירות סדיר</w:t>
            </w:r>
            <w:r>
              <w:rPr>
                <w:rFonts w:hint="cs"/>
                <w:rtl/>
              </w:rPr>
              <w:t>, או למשפחתו</w:t>
            </w:r>
            <w:r w:rsidRPr="00F7729A">
              <w:rPr>
                <w:rFonts w:hint="cs"/>
                <w:rtl/>
              </w:rPr>
              <w:t>, אינם נית</w:t>
            </w:r>
            <w:r w:rsidRPr="00F7729A">
              <w:rPr>
                <w:rtl/>
              </w:rPr>
              <w:t>נ</w:t>
            </w:r>
            <w:r w:rsidRPr="00F7729A">
              <w:rPr>
                <w:rFonts w:hint="cs"/>
                <w:rtl/>
              </w:rPr>
              <w:t>ים להעברה, לערבות</w:t>
            </w:r>
            <w:r>
              <w:rPr>
                <w:rFonts w:hint="cs"/>
                <w:rtl/>
              </w:rPr>
              <w:t>,</w:t>
            </w:r>
            <w:r w:rsidRPr="00F7729A">
              <w:rPr>
                <w:rFonts w:hint="cs"/>
                <w:rtl/>
              </w:rPr>
              <w:t xml:space="preserve"> לשעבוד או לעיק</w:t>
            </w:r>
            <w:r w:rsidRPr="00F7729A">
              <w:rPr>
                <w:rtl/>
              </w:rPr>
              <w:t>ול</w:t>
            </w:r>
            <w:r w:rsidRPr="00F7729A">
              <w:rPr>
                <w:rFonts w:hint="cs"/>
                <w:rtl/>
              </w:rPr>
              <w:t xml:space="preserve"> בכל דרך שהי</w:t>
            </w:r>
            <w:r w:rsidRPr="00F7729A">
              <w:rPr>
                <w:rtl/>
              </w:rPr>
              <w:t>א</w:t>
            </w:r>
            <w:r>
              <w:rPr>
                <w:rFonts w:hint="cs"/>
                <w:rtl/>
              </w:rPr>
              <w:t>,</w:t>
            </w:r>
            <w:r w:rsidRPr="00F7729A">
              <w:rPr>
                <w:rFonts w:hint="cs"/>
                <w:rtl/>
              </w:rPr>
              <w:t xml:space="preserve"> א</w:t>
            </w:r>
            <w:r w:rsidRPr="00F7729A">
              <w:rPr>
                <w:rtl/>
              </w:rPr>
              <w:t>לא</w:t>
            </w:r>
            <w:r w:rsidRPr="00F7729A">
              <w:rPr>
                <w:rFonts w:hint="cs"/>
                <w:rtl/>
              </w:rPr>
              <w:t xml:space="preserve"> ל</w:t>
            </w:r>
            <w:r w:rsidRPr="00F7729A">
              <w:rPr>
                <w:rtl/>
              </w:rPr>
              <w:t>ש</w:t>
            </w:r>
            <w:r w:rsidRPr="00F7729A">
              <w:rPr>
                <w:rFonts w:hint="cs"/>
                <w:rtl/>
              </w:rPr>
              <w:t>ם תשלו</w:t>
            </w:r>
            <w:r w:rsidRPr="00F7729A">
              <w:rPr>
                <w:rtl/>
              </w:rPr>
              <w:t>ם מז</w:t>
            </w:r>
            <w:r w:rsidRPr="00F7729A">
              <w:rPr>
                <w:rFonts w:hint="cs"/>
                <w:rtl/>
              </w:rPr>
              <w:t>ונ</w:t>
            </w:r>
            <w:r w:rsidRPr="00F7729A">
              <w:rPr>
                <w:rtl/>
              </w:rPr>
              <w:t>ות ה</w:t>
            </w:r>
            <w:r w:rsidRPr="00F7729A">
              <w:rPr>
                <w:rFonts w:hint="cs"/>
                <w:rtl/>
              </w:rPr>
              <w:t>מגיעים</w:t>
            </w:r>
            <w:r w:rsidRPr="00F7729A">
              <w:rPr>
                <w:rtl/>
              </w:rPr>
              <w:t xml:space="preserve"> מהזכא</w:t>
            </w:r>
            <w:r w:rsidRPr="00F7729A">
              <w:rPr>
                <w:rFonts w:hint="cs"/>
                <w:rtl/>
              </w:rPr>
              <w:t>י לג</w:t>
            </w:r>
            <w:r w:rsidRPr="00F7729A">
              <w:rPr>
                <w:rtl/>
              </w:rPr>
              <w:t>מל</w:t>
            </w:r>
            <w:r w:rsidRPr="00F7729A">
              <w:rPr>
                <w:rFonts w:hint="cs"/>
                <w:rtl/>
              </w:rPr>
              <w:t xml:space="preserve">ה לפי </w:t>
            </w:r>
            <w:r w:rsidRPr="00F7729A">
              <w:rPr>
                <w:rtl/>
              </w:rPr>
              <w:t>פס</w:t>
            </w:r>
            <w:r w:rsidRPr="00F7729A">
              <w:rPr>
                <w:rFonts w:hint="cs"/>
                <w:rtl/>
              </w:rPr>
              <w:t xml:space="preserve">ק דין </w:t>
            </w:r>
            <w:r w:rsidRPr="00F7729A">
              <w:rPr>
                <w:rtl/>
              </w:rPr>
              <w:t>של</w:t>
            </w:r>
            <w:r w:rsidRPr="00F7729A">
              <w:rPr>
                <w:rFonts w:hint="cs"/>
                <w:rtl/>
              </w:rPr>
              <w:t xml:space="preserve"> בית משפט או של בית דין מוסמך</w:t>
            </w:r>
            <w:r w:rsidRPr="00F7729A">
              <w:rPr>
                <w:rtl/>
              </w:rPr>
              <w:t>.</w:t>
            </w:r>
            <w:r w:rsidRPr="00F7729A" w:rsidDel="00837FC3">
              <w:rPr>
                <w:rtl/>
              </w:rPr>
              <w:t xml:space="preserve"> </w:t>
            </w:r>
            <w:r w:rsidRPr="00F7729A">
              <w:rPr>
                <w:rtl/>
              </w:rPr>
              <w:t xml:space="preserve">  </w:t>
            </w:r>
          </w:p>
        </w:tc>
      </w:tr>
      <w:tr w:rsidR="00D126A2" w:rsidTr="00CE18C6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69" w:type="dxa"/>
          </w:tcPr>
          <w:p w:rsidR="00D126A2" w:rsidRDefault="00D126A2" w:rsidP="00CE18C6">
            <w:pPr>
              <w:pStyle w:val="TableSideHeading"/>
            </w:pPr>
          </w:p>
        </w:tc>
        <w:tc>
          <w:tcPr>
            <w:tcW w:w="624" w:type="dxa"/>
          </w:tcPr>
          <w:p w:rsidR="00D126A2" w:rsidRDefault="00D126A2" w:rsidP="00CE18C6">
            <w:pPr>
              <w:pStyle w:val="TableText"/>
            </w:pPr>
          </w:p>
        </w:tc>
        <w:tc>
          <w:tcPr>
            <w:tcW w:w="624" w:type="dxa"/>
          </w:tcPr>
          <w:p w:rsidR="00D126A2" w:rsidRDefault="00D126A2" w:rsidP="00CE18C6">
            <w:pPr>
              <w:pStyle w:val="TableText"/>
            </w:pPr>
          </w:p>
        </w:tc>
        <w:tc>
          <w:tcPr>
            <w:tcW w:w="624" w:type="dxa"/>
          </w:tcPr>
          <w:p w:rsidR="00D126A2" w:rsidRDefault="00D126A2" w:rsidP="00CE18C6">
            <w:pPr>
              <w:pStyle w:val="TableText"/>
            </w:pPr>
          </w:p>
        </w:tc>
        <w:tc>
          <w:tcPr>
            <w:tcW w:w="624" w:type="dxa"/>
          </w:tcPr>
          <w:p w:rsidR="00D126A2" w:rsidRDefault="00D126A2" w:rsidP="00CE18C6">
            <w:pPr>
              <w:pStyle w:val="TableText"/>
            </w:pPr>
          </w:p>
        </w:tc>
        <w:tc>
          <w:tcPr>
            <w:tcW w:w="624" w:type="dxa"/>
          </w:tcPr>
          <w:p w:rsidR="00D126A2" w:rsidRDefault="00D126A2" w:rsidP="00CE18C6">
            <w:pPr>
              <w:pStyle w:val="TableText"/>
            </w:pPr>
          </w:p>
        </w:tc>
        <w:tc>
          <w:tcPr>
            <w:tcW w:w="4649" w:type="dxa"/>
          </w:tcPr>
          <w:p w:rsidR="00D126A2" w:rsidRDefault="00D126A2" w:rsidP="00CE18C6">
            <w:pPr>
              <w:pStyle w:val="TableBlock"/>
            </w:pPr>
            <w:r w:rsidRPr="00F7729A">
              <w:rPr>
                <w:rFonts w:hint="cs"/>
                <w:rtl/>
              </w:rPr>
              <w:t>(ב)</w:t>
            </w:r>
            <w:r>
              <w:rPr>
                <w:rFonts w:hint="cs"/>
                <w:rtl/>
              </w:rPr>
              <w:tab/>
            </w:r>
            <w:r w:rsidRPr="00F7729A">
              <w:rPr>
                <w:rtl/>
              </w:rPr>
              <w:t>ה</w:t>
            </w:r>
            <w:r w:rsidRPr="00F7729A">
              <w:rPr>
                <w:rFonts w:hint="cs"/>
                <w:rtl/>
              </w:rPr>
              <w:t>וראת ס</w:t>
            </w:r>
            <w:r w:rsidRPr="00F7729A">
              <w:rPr>
                <w:rtl/>
              </w:rPr>
              <w:t>עי</w:t>
            </w:r>
            <w:r w:rsidRPr="00F7729A">
              <w:rPr>
                <w:rFonts w:hint="cs"/>
                <w:rtl/>
              </w:rPr>
              <w:t>ף קטן (</w:t>
            </w:r>
            <w:r w:rsidRPr="00F7729A">
              <w:rPr>
                <w:rtl/>
              </w:rPr>
              <w:t xml:space="preserve">א) </w:t>
            </w:r>
            <w:r w:rsidRPr="00F7729A">
              <w:rPr>
                <w:rFonts w:hint="cs"/>
                <w:rtl/>
              </w:rPr>
              <w:t>תחול ג</w:t>
            </w:r>
            <w:r w:rsidRPr="00F7729A">
              <w:rPr>
                <w:rtl/>
              </w:rPr>
              <w:t xml:space="preserve">ם </w:t>
            </w:r>
            <w:r w:rsidRPr="00F7729A">
              <w:rPr>
                <w:rFonts w:hint="cs"/>
                <w:rtl/>
              </w:rPr>
              <w:t xml:space="preserve">על גמלת כסף ששולמה </w:t>
            </w:r>
            <w:r w:rsidRPr="00F7729A">
              <w:rPr>
                <w:rtl/>
              </w:rPr>
              <w:t>ב</w:t>
            </w:r>
            <w:r w:rsidRPr="00F7729A">
              <w:rPr>
                <w:rFonts w:hint="cs"/>
                <w:rtl/>
              </w:rPr>
              <w:t>אמצעות</w:t>
            </w:r>
            <w:r w:rsidRPr="00F7729A">
              <w:rPr>
                <w:rtl/>
              </w:rPr>
              <w:t xml:space="preserve"> ב</w:t>
            </w:r>
            <w:r w:rsidRPr="00F7729A">
              <w:rPr>
                <w:rFonts w:hint="cs"/>
                <w:rtl/>
              </w:rPr>
              <w:t xml:space="preserve">נק או החברה, כהגדרתה בחוק הדואר, </w:t>
            </w:r>
            <w:proofErr w:type="spellStart"/>
            <w:r w:rsidRPr="00F7729A">
              <w:rPr>
                <w:rFonts w:hint="cs"/>
                <w:rtl/>
              </w:rPr>
              <w:t>התשמ"ו</w:t>
            </w:r>
            <w:proofErr w:type="spellEnd"/>
            <w:r>
              <w:rPr>
                <w:rFonts w:hint="eastAsia"/>
                <w:rtl/>
              </w:rPr>
              <w:t>–</w:t>
            </w:r>
            <w:r w:rsidRPr="00F7729A">
              <w:rPr>
                <w:rFonts w:hint="cs"/>
                <w:rtl/>
              </w:rPr>
              <w:t>1986</w:t>
            </w:r>
            <w:r>
              <w:rPr>
                <w:rStyle w:val="a5"/>
                <w:rtl/>
              </w:rPr>
              <w:footnoteReference w:id="3"/>
            </w:r>
            <w:r w:rsidRPr="00F7729A">
              <w:rPr>
                <w:rFonts w:hint="cs"/>
                <w:rtl/>
              </w:rPr>
              <w:t>, בנותנה שירותים לפי סעיף 88א לאותו חוק."</w:t>
            </w:r>
          </w:p>
        </w:tc>
      </w:tr>
    </w:tbl>
    <w:p w:rsidR="00D126A2" w:rsidRDefault="00D126A2" w:rsidP="00FD0498">
      <w:pPr>
        <w:pStyle w:val="HeadDivreiHesber"/>
        <w:spacing w:line="240" w:lineRule="auto"/>
        <w:rPr>
          <w:rtl/>
        </w:rPr>
      </w:pPr>
      <w:r>
        <w:rPr>
          <w:rFonts w:hint="cs"/>
          <w:rtl/>
        </w:rPr>
        <w:t>דברי הסבר</w:t>
      </w:r>
    </w:p>
    <w:p w:rsidR="00D126A2" w:rsidRPr="002C5FA2" w:rsidRDefault="00D126A2" w:rsidP="002C5FA2">
      <w:pPr>
        <w:pStyle w:val="Hesber"/>
        <w:rPr>
          <w:rtl/>
        </w:rPr>
      </w:pPr>
      <w:r w:rsidRPr="002C5FA2">
        <w:rPr>
          <w:rFonts w:hint="eastAsia"/>
          <w:rtl/>
        </w:rPr>
        <w:t>חייל</w:t>
      </w:r>
      <w:r w:rsidRPr="002C5FA2">
        <w:rPr>
          <w:rtl/>
        </w:rPr>
        <w:t xml:space="preserve"> המבקש לסייע למשפחתו</w:t>
      </w:r>
      <w:r w:rsidRPr="002C5FA2">
        <w:rPr>
          <w:rFonts w:hint="cs"/>
          <w:rtl/>
        </w:rPr>
        <w:t>,</w:t>
      </w:r>
      <w:r w:rsidRPr="002C5FA2">
        <w:rPr>
          <w:rtl/>
        </w:rPr>
        <w:t xml:space="preserve"> </w:t>
      </w:r>
      <w:r w:rsidRPr="002C5FA2">
        <w:rPr>
          <w:rFonts w:hint="eastAsia"/>
          <w:rtl/>
        </w:rPr>
        <w:t>הסובלת</w:t>
      </w:r>
      <w:r w:rsidRPr="002C5FA2">
        <w:rPr>
          <w:rtl/>
        </w:rPr>
        <w:t xml:space="preserve"> </w:t>
      </w:r>
      <w:r w:rsidRPr="002C5FA2">
        <w:rPr>
          <w:rFonts w:hint="eastAsia"/>
          <w:rtl/>
        </w:rPr>
        <w:t>ממצב</w:t>
      </w:r>
      <w:r w:rsidRPr="002C5FA2">
        <w:rPr>
          <w:rtl/>
        </w:rPr>
        <w:t xml:space="preserve"> </w:t>
      </w:r>
      <w:r w:rsidRPr="002C5FA2">
        <w:rPr>
          <w:rFonts w:hint="eastAsia"/>
          <w:rtl/>
        </w:rPr>
        <w:t>כלכלי</w:t>
      </w:r>
      <w:r w:rsidRPr="002C5FA2">
        <w:rPr>
          <w:rtl/>
        </w:rPr>
        <w:t xml:space="preserve"> </w:t>
      </w:r>
      <w:r w:rsidRPr="002C5FA2">
        <w:rPr>
          <w:rFonts w:hint="eastAsia"/>
          <w:rtl/>
        </w:rPr>
        <w:t>רעוע</w:t>
      </w:r>
      <w:r w:rsidRPr="002C5FA2">
        <w:rPr>
          <w:rtl/>
        </w:rPr>
        <w:t xml:space="preserve">, </w:t>
      </w:r>
      <w:r w:rsidRPr="002C5FA2">
        <w:rPr>
          <w:rFonts w:hint="eastAsia"/>
          <w:rtl/>
        </w:rPr>
        <w:t>יכול</w:t>
      </w:r>
      <w:r w:rsidRPr="002C5FA2">
        <w:rPr>
          <w:rtl/>
        </w:rPr>
        <w:t xml:space="preserve"> לפנות לצבא ולבקש סיוע כלכלי הקרוי תשלומי משפחה</w:t>
      </w:r>
      <w:r w:rsidRPr="002C5FA2">
        <w:rPr>
          <w:rFonts w:hint="cs"/>
          <w:rtl/>
        </w:rPr>
        <w:t>. תשלומים אלה</w:t>
      </w:r>
      <w:r w:rsidRPr="002C5FA2">
        <w:rPr>
          <w:rtl/>
        </w:rPr>
        <w:t xml:space="preserve"> מועברים ישירות לחשבון המוטב, ההורים או החייל הפונה.</w:t>
      </w:r>
    </w:p>
    <w:p w:rsidR="00D126A2" w:rsidRPr="000316F6" w:rsidRDefault="00D126A2" w:rsidP="00D126A2">
      <w:pPr>
        <w:pStyle w:val="Hesber"/>
        <w:rPr>
          <w:rtl/>
        </w:rPr>
      </w:pPr>
      <w:r w:rsidRPr="000316F6">
        <w:rPr>
          <w:rFonts w:hint="eastAsia"/>
          <w:rtl/>
        </w:rPr>
        <w:t>ואולם</w:t>
      </w:r>
      <w:r w:rsidRPr="000316F6">
        <w:rPr>
          <w:rtl/>
        </w:rPr>
        <w:t xml:space="preserve">, </w:t>
      </w:r>
      <w:r w:rsidRPr="000316F6">
        <w:rPr>
          <w:rFonts w:hint="eastAsia"/>
          <w:rtl/>
        </w:rPr>
        <w:t>פעמים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רבות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הכספים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שמועברים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מהצבא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לחשבון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המשפחה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ואמורים</w:t>
      </w:r>
      <w:r w:rsidRPr="000316F6">
        <w:rPr>
          <w:rtl/>
        </w:rPr>
        <w:t xml:space="preserve"> לסייע לה בקיום היום יומי מעוקלים באופן אוטומטי לאור ההגבלה הקיימת על החשבון.</w:t>
      </w:r>
    </w:p>
    <w:p w:rsidR="00D126A2" w:rsidRPr="000316F6" w:rsidRDefault="00D126A2" w:rsidP="00D126A2">
      <w:pPr>
        <w:pStyle w:val="Hesber"/>
        <w:rPr>
          <w:rtl/>
        </w:rPr>
      </w:pPr>
      <w:r w:rsidRPr="000316F6">
        <w:rPr>
          <w:rFonts w:hint="eastAsia"/>
          <w:rtl/>
        </w:rPr>
        <w:t>כך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נוצר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מצב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אבסורדי</w:t>
      </w:r>
      <w:r w:rsidRPr="000316F6">
        <w:rPr>
          <w:rtl/>
        </w:rPr>
        <w:t xml:space="preserve">, </w:t>
      </w:r>
      <w:r w:rsidRPr="000316F6">
        <w:rPr>
          <w:rFonts w:hint="eastAsia"/>
          <w:rtl/>
        </w:rPr>
        <w:t>בו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התשלומים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המשולמים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לחייל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ומשפחתו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אינם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יכולים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לשמש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בפועל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את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המשפחה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אשר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פעמים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רבות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מתקיימת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על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קצבת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הבטחת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הכנסה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ומגיעה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לחרפת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רעב</w:t>
      </w:r>
      <w:r w:rsidRPr="000316F6">
        <w:rPr>
          <w:rtl/>
        </w:rPr>
        <w:t>.</w:t>
      </w:r>
    </w:p>
    <w:p w:rsidR="000B6FB1" w:rsidRDefault="00D126A2" w:rsidP="00D126A2">
      <w:pPr>
        <w:pStyle w:val="Hesber"/>
        <w:rPr>
          <w:szCs w:val="20"/>
          <w:rtl/>
        </w:rPr>
      </w:pPr>
      <w:r w:rsidRPr="000316F6">
        <w:rPr>
          <w:rFonts w:hint="eastAsia"/>
          <w:rtl/>
        </w:rPr>
        <w:t>על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כן</w:t>
      </w:r>
      <w:r w:rsidRPr="000316F6">
        <w:rPr>
          <w:rtl/>
        </w:rPr>
        <w:t xml:space="preserve">, </w:t>
      </w:r>
      <w:r w:rsidRPr="000316F6">
        <w:rPr>
          <w:rFonts w:hint="eastAsia"/>
          <w:rtl/>
        </w:rPr>
        <w:t>על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מנת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למנוע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מצב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בו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תשלומים</w:t>
      </w:r>
      <w:r w:rsidRPr="000316F6">
        <w:rPr>
          <w:rtl/>
        </w:rPr>
        <w:t xml:space="preserve"> </w:t>
      </w:r>
      <w:r w:rsidR="002C5FA2">
        <w:rPr>
          <w:rFonts w:hint="cs"/>
          <w:rtl/>
        </w:rPr>
        <w:t>אלה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מחטיאים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את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המטרה</w:t>
      </w:r>
      <w:r w:rsidRPr="000316F6">
        <w:rPr>
          <w:rtl/>
        </w:rPr>
        <w:t xml:space="preserve"> </w:t>
      </w:r>
      <w:r w:rsidR="002C5FA2">
        <w:rPr>
          <w:rFonts w:hint="cs"/>
          <w:rtl/>
        </w:rPr>
        <w:t>ש</w:t>
      </w:r>
      <w:r w:rsidRPr="000316F6">
        <w:rPr>
          <w:rFonts w:hint="eastAsia"/>
          <w:rtl/>
        </w:rPr>
        <w:t>לשמה</w:t>
      </w:r>
      <w:r w:rsidR="002C5FA2">
        <w:rPr>
          <w:rFonts w:hint="cs"/>
          <w:rtl/>
        </w:rPr>
        <w:t xml:space="preserve"> נוצרו</w:t>
      </w:r>
      <w:r w:rsidRPr="000316F6">
        <w:rPr>
          <w:rtl/>
        </w:rPr>
        <w:t xml:space="preserve">, </w:t>
      </w:r>
      <w:r w:rsidRPr="000316F6">
        <w:rPr>
          <w:rFonts w:hint="eastAsia"/>
          <w:rtl/>
        </w:rPr>
        <w:t>מוצע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להשוות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את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מעמד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תשלומי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המשפחה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מהצבא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למעמד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כספי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ביטוח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לאומי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המשולמים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לזכאים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והמוגנים</w:t>
      </w:r>
      <w:r w:rsidRPr="000316F6">
        <w:rPr>
          <w:rtl/>
        </w:rPr>
        <w:t xml:space="preserve"> באופן אוטומטי מפני ערבות, העברה עיקול ושעבוד</w:t>
      </w:r>
      <w:r w:rsidR="002C5FA2">
        <w:rPr>
          <w:rFonts w:hint="cs"/>
          <w:rtl/>
        </w:rPr>
        <w:t>,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כך</w:t>
      </w:r>
      <w:r w:rsidRPr="000316F6">
        <w:rPr>
          <w:rtl/>
        </w:rPr>
        <w:t xml:space="preserve"> שגם </w:t>
      </w:r>
      <w:r w:rsidRPr="000316F6">
        <w:rPr>
          <w:rFonts w:hint="eastAsia"/>
          <w:rtl/>
        </w:rPr>
        <w:t>על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תשלומי</w:t>
      </w:r>
      <w:r w:rsidRPr="000316F6">
        <w:rPr>
          <w:rtl/>
        </w:rPr>
        <w:t xml:space="preserve"> </w:t>
      </w:r>
      <w:r w:rsidRPr="000316F6">
        <w:rPr>
          <w:rFonts w:hint="eastAsia"/>
          <w:rtl/>
        </w:rPr>
        <w:t>המשפחה</w:t>
      </w:r>
      <w:r w:rsidRPr="000316F6">
        <w:rPr>
          <w:rtl/>
        </w:rPr>
        <w:t xml:space="preserve"> לחיילים </w:t>
      </w:r>
      <w:r w:rsidRPr="000316F6">
        <w:rPr>
          <w:rFonts w:hint="eastAsia"/>
          <w:rtl/>
        </w:rPr>
        <w:t>יחולו</w:t>
      </w:r>
      <w:r w:rsidRPr="000316F6">
        <w:rPr>
          <w:rtl/>
        </w:rPr>
        <w:t xml:space="preserve"> </w:t>
      </w:r>
      <w:proofErr w:type="spellStart"/>
      <w:r w:rsidRPr="000316F6">
        <w:rPr>
          <w:rFonts w:hint="eastAsia"/>
          <w:rtl/>
        </w:rPr>
        <w:t>ההגנות</w:t>
      </w:r>
      <w:proofErr w:type="spellEnd"/>
      <w:r w:rsidRPr="000316F6">
        <w:rPr>
          <w:rtl/>
        </w:rPr>
        <w:t xml:space="preserve"> </w:t>
      </w:r>
      <w:r w:rsidRPr="000316F6">
        <w:rPr>
          <w:rFonts w:hint="cs"/>
          <w:rtl/>
        </w:rPr>
        <w:t>הנזכרות לעיל</w:t>
      </w:r>
      <w:r w:rsidRPr="000316F6">
        <w:rPr>
          <w:rtl/>
        </w:rPr>
        <w:t xml:space="preserve">. </w:t>
      </w:r>
    </w:p>
    <w:p w:rsidR="00FD0498" w:rsidRPr="0022704F" w:rsidRDefault="00FD0498" w:rsidP="00FD0498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:rsidR="00FD0498" w:rsidRPr="0022704F" w:rsidRDefault="00FD0498" w:rsidP="00FD0498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:rsidR="00FD0498" w:rsidRPr="0022704F" w:rsidRDefault="00FD0498" w:rsidP="00FD0498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2C5FA2" w:rsidRPr="00FD0498" w:rsidRDefault="00FD0498" w:rsidP="00FD0498">
      <w:pPr>
        <w:spacing w:before="0" w:line="240" w:lineRule="auto"/>
        <w:ind w:left="340" w:firstLine="0"/>
        <w:rPr>
          <w:szCs w:val="20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י' באדר א' התשע"ד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10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2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14</w:t>
      </w:r>
    </w:p>
    <w:sectPr w:rsidR="002C5FA2" w:rsidRPr="00FD0498" w:rsidSect="00FD0498">
      <w:footerReference w:type="even" r:id="rId12"/>
      <w:footerReference w:type="default" r:id="rId13"/>
      <w:pgSz w:w="11907" w:h="16840" w:code="9"/>
      <w:pgMar w:top="709" w:right="1134" w:bottom="851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FE" w:rsidRDefault="004165FE">
      <w:r>
        <w:separator/>
      </w:r>
    </w:p>
  </w:endnote>
  <w:endnote w:type="continuationSeparator" w:id="0">
    <w:p w:rsidR="004165FE" w:rsidRDefault="004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FD0498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FE" w:rsidRDefault="004165FE">
      <w:r>
        <w:separator/>
      </w:r>
    </w:p>
  </w:footnote>
  <w:footnote w:type="continuationSeparator" w:id="0">
    <w:p w:rsidR="004165FE" w:rsidRDefault="004165FE">
      <w:r>
        <w:continuationSeparator/>
      </w:r>
    </w:p>
  </w:footnote>
  <w:footnote w:type="continuationNotice" w:id="1">
    <w:p w:rsidR="004165FE" w:rsidRDefault="004165FE"/>
  </w:footnote>
  <w:footnote w:id="2">
    <w:p w:rsidR="00D126A2" w:rsidRPr="006116CC" w:rsidRDefault="00D126A2" w:rsidP="00D126A2">
      <w:pPr>
        <w:pStyle w:val="a4"/>
        <w:rPr>
          <w:rtl/>
        </w:rPr>
      </w:pPr>
      <w:r w:rsidRPr="006116CC">
        <w:rPr>
          <w:rStyle w:val="a5"/>
        </w:rPr>
        <w:footnoteRef/>
      </w:r>
      <w:r w:rsidRPr="006116CC">
        <w:rPr>
          <w:rtl/>
        </w:rPr>
        <w:t xml:space="preserve"> </w:t>
      </w:r>
      <w:hyperlink r:id="rId1" w:history="1">
        <w:r w:rsidRPr="006116CC">
          <w:rPr>
            <w:rStyle w:val="Hyperlink"/>
            <w:rFonts w:hint="cs"/>
            <w:color w:val="auto"/>
            <w:u w:val="none"/>
            <w:rtl/>
          </w:rPr>
          <w:t xml:space="preserve">ס"ח </w:t>
        </w:r>
        <w:proofErr w:type="spellStart"/>
        <w:r w:rsidR="00FD0498">
          <w:rPr>
            <w:rStyle w:val="Hyperlink"/>
            <w:rFonts w:hint="cs"/>
            <w:color w:val="auto"/>
            <w:u w:val="none"/>
            <w:rtl/>
          </w:rPr>
          <w:t>ה</w:t>
        </w:r>
        <w:r w:rsidRPr="006116CC">
          <w:rPr>
            <w:rStyle w:val="Hyperlink"/>
            <w:rFonts w:hint="cs"/>
            <w:color w:val="auto"/>
            <w:u w:val="none"/>
            <w:rtl/>
          </w:rPr>
          <w:t>תשמ"ו</w:t>
        </w:r>
        <w:proofErr w:type="spellEnd"/>
      </w:hyperlink>
      <w:r w:rsidRPr="006116CC">
        <w:rPr>
          <w:rFonts w:hint="cs"/>
          <w:rtl/>
        </w:rPr>
        <w:t>, עמ' 107</w:t>
      </w:r>
      <w:r>
        <w:rPr>
          <w:rFonts w:hint="cs"/>
          <w:rtl/>
        </w:rPr>
        <w:t>.</w:t>
      </w:r>
    </w:p>
  </w:footnote>
  <w:footnote w:id="3">
    <w:p w:rsidR="00D126A2" w:rsidRDefault="00D126A2" w:rsidP="00D126A2">
      <w:pPr>
        <w:pStyle w:val="a4"/>
      </w:pPr>
      <w:r>
        <w:rPr>
          <w:rStyle w:val="a5"/>
        </w:rPr>
        <w:footnoteRef/>
      </w:r>
      <w:r>
        <w:rPr>
          <w:rFonts w:hint="cs"/>
          <w:rtl/>
        </w:rPr>
        <w:t xml:space="preserve"> ס"ח </w:t>
      </w:r>
      <w:proofErr w:type="spellStart"/>
      <w:r>
        <w:rPr>
          <w:rFonts w:hint="cs"/>
          <w:rtl/>
        </w:rPr>
        <w:t>התשמ"ו</w:t>
      </w:r>
      <w:proofErr w:type="spellEnd"/>
      <w:r>
        <w:rPr>
          <w:rFonts w:hint="cs"/>
          <w:rtl/>
        </w:rPr>
        <w:t xml:space="preserve">, עמ' 79.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47111lsCopyOriginal.docx"/>
    <w:docVar w:name="StartMode" w:val="2"/>
  </w:docVars>
  <w:rsids>
    <w:rsidRoot w:val="00DB7060"/>
    <w:rsid w:val="00015B27"/>
    <w:rsid w:val="000448A4"/>
    <w:rsid w:val="000A542E"/>
    <w:rsid w:val="000B6FB1"/>
    <w:rsid w:val="000D5C5A"/>
    <w:rsid w:val="000E71EA"/>
    <w:rsid w:val="000F53B8"/>
    <w:rsid w:val="001207F8"/>
    <w:rsid w:val="00121924"/>
    <w:rsid w:val="001279A8"/>
    <w:rsid w:val="0014195F"/>
    <w:rsid w:val="00152609"/>
    <w:rsid w:val="00153E1B"/>
    <w:rsid w:val="001A0623"/>
    <w:rsid w:val="001C23B0"/>
    <w:rsid w:val="00203A7F"/>
    <w:rsid w:val="002200A1"/>
    <w:rsid w:val="002362BF"/>
    <w:rsid w:val="00241B97"/>
    <w:rsid w:val="00254605"/>
    <w:rsid w:val="002728B4"/>
    <w:rsid w:val="00272C08"/>
    <w:rsid w:val="00292712"/>
    <w:rsid w:val="002C2E29"/>
    <w:rsid w:val="002C5FA2"/>
    <w:rsid w:val="002E1F78"/>
    <w:rsid w:val="003232A2"/>
    <w:rsid w:val="00330478"/>
    <w:rsid w:val="003710F6"/>
    <w:rsid w:val="00386E88"/>
    <w:rsid w:val="003A6CCA"/>
    <w:rsid w:val="003D74A0"/>
    <w:rsid w:val="003F0F51"/>
    <w:rsid w:val="004033D8"/>
    <w:rsid w:val="004165FE"/>
    <w:rsid w:val="004D3876"/>
    <w:rsid w:val="004D7A8E"/>
    <w:rsid w:val="004E4552"/>
    <w:rsid w:val="00553C9D"/>
    <w:rsid w:val="005B064E"/>
    <w:rsid w:val="005D51AE"/>
    <w:rsid w:val="006116CC"/>
    <w:rsid w:val="00627D88"/>
    <w:rsid w:val="00644940"/>
    <w:rsid w:val="006818A9"/>
    <w:rsid w:val="006C1D0D"/>
    <w:rsid w:val="0070601E"/>
    <w:rsid w:val="00765F66"/>
    <w:rsid w:val="007D5A12"/>
    <w:rsid w:val="007D6A0C"/>
    <w:rsid w:val="007E59F9"/>
    <w:rsid w:val="00810BCD"/>
    <w:rsid w:val="00812C98"/>
    <w:rsid w:val="00814D92"/>
    <w:rsid w:val="00837FC3"/>
    <w:rsid w:val="0084341C"/>
    <w:rsid w:val="00892135"/>
    <w:rsid w:val="00895449"/>
    <w:rsid w:val="00897879"/>
    <w:rsid w:val="008C2DDC"/>
    <w:rsid w:val="008C46EC"/>
    <w:rsid w:val="008F0D63"/>
    <w:rsid w:val="008F2C35"/>
    <w:rsid w:val="0091204F"/>
    <w:rsid w:val="009203DB"/>
    <w:rsid w:val="00943386"/>
    <w:rsid w:val="00957589"/>
    <w:rsid w:val="00982412"/>
    <w:rsid w:val="00A26BD6"/>
    <w:rsid w:val="00A46A09"/>
    <w:rsid w:val="00A82CB7"/>
    <w:rsid w:val="00AC36F7"/>
    <w:rsid w:val="00B234A8"/>
    <w:rsid w:val="00B35784"/>
    <w:rsid w:val="00B71B2B"/>
    <w:rsid w:val="00B77A44"/>
    <w:rsid w:val="00B90E38"/>
    <w:rsid w:val="00BA1B4F"/>
    <w:rsid w:val="00BB19BD"/>
    <w:rsid w:val="00BC18D6"/>
    <w:rsid w:val="00BC45FB"/>
    <w:rsid w:val="00BE438D"/>
    <w:rsid w:val="00C25E05"/>
    <w:rsid w:val="00C9176A"/>
    <w:rsid w:val="00CD5EA7"/>
    <w:rsid w:val="00D048A6"/>
    <w:rsid w:val="00D0585C"/>
    <w:rsid w:val="00D126A2"/>
    <w:rsid w:val="00D867D7"/>
    <w:rsid w:val="00DB7060"/>
    <w:rsid w:val="00DE3153"/>
    <w:rsid w:val="00E13C27"/>
    <w:rsid w:val="00E33BBD"/>
    <w:rsid w:val="00E45103"/>
    <w:rsid w:val="00E665B9"/>
    <w:rsid w:val="00E9005D"/>
    <w:rsid w:val="00E910E6"/>
    <w:rsid w:val="00EA01E6"/>
    <w:rsid w:val="00EA758F"/>
    <w:rsid w:val="00ED4A6F"/>
    <w:rsid w:val="00EF3A3A"/>
    <w:rsid w:val="00FD0498"/>
    <w:rsid w:val="00FD241F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C3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837FC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37FC3"/>
    <w:rPr>
      <w:sz w:val="36"/>
      <w:szCs w:val="52"/>
    </w:rPr>
  </w:style>
  <w:style w:type="paragraph" w:customStyle="1" w:styleId="Cover3-Haknesset">
    <w:name w:val="Cover 3-Haknesset"/>
    <w:basedOn w:val="Cover1-Reshumot"/>
    <w:rsid w:val="00837FC3"/>
    <w:rPr>
      <w:b/>
      <w:bCs/>
      <w:spacing w:val="60"/>
    </w:rPr>
  </w:style>
  <w:style w:type="paragraph" w:customStyle="1" w:styleId="Cover4-Date">
    <w:name w:val="Cover 4-Date"/>
    <w:basedOn w:val="a"/>
    <w:rsid w:val="00837FC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837FC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837FC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37FC3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837FC3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837FC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37FC3"/>
  </w:style>
  <w:style w:type="paragraph" w:customStyle="1" w:styleId="TableBlock">
    <w:name w:val="Table Block"/>
    <w:basedOn w:val="TableText"/>
    <w:rsid w:val="00837FC3"/>
    <w:pPr>
      <w:ind w:right="0"/>
      <w:jc w:val="both"/>
    </w:pPr>
  </w:style>
  <w:style w:type="paragraph" w:customStyle="1" w:styleId="TableHead">
    <w:name w:val="Table Head"/>
    <w:basedOn w:val="TableText"/>
    <w:rsid w:val="00837FC3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837FC3"/>
  </w:style>
  <w:style w:type="paragraph" w:customStyle="1" w:styleId="Hesber">
    <w:name w:val="Hesber"/>
    <w:basedOn w:val="a"/>
    <w:rsid w:val="00837FC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837FC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837FC3"/>
    <w:rPr>
      <w:vertAlign w:val="superscript"/>
    </w:rPr>
  </w:style>
  <w:style w:type="paragraph" w:customStyle="1" w:styleId="HesberHeading">
    <w:name w:val="Hesber Heading"/>
    <w:basedOn w:val="Hesber"/>
    <w:rsid w:val="00837FC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837FC3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837FC3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837FC3"/>
    <w:rPr>
      <w:vertAlign w:val="superscript"/>
    </w:rPr>
  </w:style>
  <w:style w:type="paragraph" w:customStyle="1" w:styleId="TableBlockOutdent">
    <w:name w:val="Table BlockOutdent"/>
    <w:basedOn w:val="TableBlock"/>
    <w:rsid w:val="00837FC3"/>
    <w:pPr>
      <w:ind w:left="624" w:hanging="624"/>
    </w:pPr>
  </w:style>
  <w:style w:type="paragraph" w:styleId="a7">
    <w:name w:val="header"/>
    <w:basedOn w:val="a"/>
    <w:rsid w:val="00837FC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837FC3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837FC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837FC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837FC3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character" w:styleId="Hyperlink">
    <w:name w:val="Hyperlink"/>
    <w:basedOn w:val="a0"/>
    <w:unhideWhenUsed/>
    <w:rsid w:val="00611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C3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837FC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37FC3"/>
    <w:rPr>
      <w:sz w:val="36"/>
      <w:szCs w:val="52"/>
    </w:rPr>
  </w:style>
  <w:style w:type="paragraph" w:customStyle="1" w:styleId="Cover3-Haknesset">
    <w:name w:val="Cover 3-Haknesset"/>
    <w:basedOn w:val="Cover1-Reshumot"/>
    <w:rsid w:val="00837FC3"/>
    <w:rPr>
      <w:b/>
      <w:bCs/>
      <w:spacing w:val="60"/>
    </w:rPr>
  </w:style>
  <w:style w:type="paragraph" w:customStyle="1" w:styleId="Cover4-Date">
    <w:name w:val="Cover 4-Date"/>
    <w:basedOn w:val="a"/>
    <w:rsid w:val="00837FC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837FC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837FC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37FC3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837FC3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837FC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37FC3"/>
  </w:style>
  <w:style w:type="paragraph" w:customStyle="1" w:styleId="TableBlock">
    <w:name w:val="Table Block"/>
    <w:basedOn w:val="TableText"/>
    <w:rsid w:val="00837FC3"/>
    <w:pPr>
      <w:ind w:right="0"/>
      <w:jc w:val="both"/>
    </w:pPr>
  </w:style>
  <w:style w:type="paragraph" w:customStyle="1" w:styleId="TableHead">
    <w:name w:val="Table Head"/>
    <w:basedOn w:val="TableText"/>
    <w:rsid w:val="00837FC3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837FC3"/>
  </w:style>
  <w:style w:type="paragraph" w:customStyle="1" w:styleId="Hesber">
    <w:name w:val="Hesber"/>
    <w:basedOn w:val="a"/>
    <w:rsid w:val="00837FC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837FC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837FC3"/>
    <w:rPr>
      <w:vertAlign w:val="superscript"/>
    </w:rPr>
  </w:style>
  <w:style w:type="paragraph" w:customStyle="1" w:styleId="HesberHeading">
    <w:name w:val="Hesber Heading"/>
    <w:basedOn w:val="Hesber"/>
    <w:rsid w:val="00837FC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837FC3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837FC3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837FC3"/>
    <w:rPr>
      <w:vertAlign w:val="superscript"/>
    </w:rPr>
  </w:style>
  <w:style w:type="paragraph" w:customStyle="1" w:styleId="TableBlockOutdent">
    <w:name w:val="Table BlockOutdent"/>
    <w:basedOn w:val="TableBlock"/>
    <w:rsid w:val="00837FC3"/>
    <w:pPr>
      <w:ind w:left="624" w:hanging="624"/>
    </w:pPr>
  </w:style>
  <w:style w:type="paragraph" w:styleId="a7">
    <w:name w:val="header"/>
    <w:basedOn w:val="a"/>
    <w:rsid w:val="00837FC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837FC3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837FC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837FC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837FC3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character" w:styleId="Hyperlink">
    <w:name w:val="Hyperlink"/>
    <w:basedOn w:val="a0"/>
    <w:unhideWhenUsed/>
    <w:rsid w:val="00611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vo.co.il/Law_word/law14/LAW-1170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F402D-CE11-4856-BBA7-22CA377B6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331A0A-61BE-4047-9383-2217CADD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קורל אבירם</dc:creator>
  <cp:lastModifiedBy>לילך יעיש</cp:lastModifiedBy>
  <cp:revision>2</cp:revision>
  <cp:lastPrinted>2014-02-05T11:02:00Z</cp:lastPrinted>
  <dcterms:created xsi:type="dcterms:W3CDTF">2014-02-05T11:02:00Z</dcterms:created>
  <dcterms:modified xsi:type="dcterms:W3CDTF">2014-02-05T11:02:00Z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