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CAD48" w14:textId="77777777" w:rsidR="004452FB" w:rsidRPr="0000131B" w:rsidRDefault="004452FB" w:rsidP="004452FB">
      <w:pPr>
        <w:pStyle w:val="HeadHatzaotHok"/>
        <w:jc w:val="right"/>
        <w:rPr>
          <w:b w:val="0"/>
          <w:bCs w:val="0"/>
          <w:szCs w:val="20"/>
        </w:rPr>
      </w:pPr>
      <w:bookmarkStart w:id="0" w:name="_GoBack"/>
      <w:bookmarkEnd w:id="0"/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1" w:name="LGS_Internal_ID"/>
      <w:r>
        <w:rPr>
          <w:rFonts w:hint="cs"/>
          <w:b w:val="0"/>
          <w:bCs w:val="0"/>
          <w:szCs w:val="20"/>
          <w:rtl/>
        </w:rPr>
        <w:t>564843</w:t>
      </w:r>
      <w:bookmarkEnd w:id="1"/>
    </w:p>
    <w:p w14:paraId="10C06985" w14:textId="77777777" w:rsidR="004452FB" w:rsidRPr="00DB7060" w:rsidRDefault="004452FB" w:rsidP="004452FB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2" w:name="LGS_Knesset_Num"/>
      <w:r>
        <w:rPr>
          <w:rFonts w:hint="cs"/>
          <w:sz w:val="28"/>
          <w:szCs w:val="28"/>
          <w:rtl/>
        </w:rPr>
        <w:t>העשרים</w:t>
      </w:r>
      <w:bookmarkEnd w:id="2"/>
    </w:p>
    <w:p w14:paraId="409CCCF0" w14:textId="77777777" w:rsidR="004452FB" w:rsidRPr="00F67051" w:rsidRDefault="004452FB" w:rsidP="004452FB">
      <w:pPr>
        <w:rPr>
          <w:rFonts w:cs="David"/>
          <w:b/>
          <w:bCs/>
          <w:sz w:val="26"/>
          <w:szCs w:val="26"/>
          <w:rtl/>
        </w:rPr>
      </w:pPr>
    </w:p>
    <w:p w14:paraId="5A6EE0D0" w14:textId="77777777" w:rsidR="004452FB" w:rsidRDefault="004452FB" w:rsidP="004452FB">
      <w:pPr>
        <w:pStyle w:val="David"/>
        <w:spacing w:line="360" w:lineRule="auto"/>
        <w:ind w:left="3544"/>
        <w:rPr>
          <w:b/>
          <w:bCs/>
          <w:rtl/>
        </w:rPr>
      </w:pPr>
      <w:bookmarkStart w:id="3" w:name="LGS_Initiators_List"/>
      <w:r>
        <w:rPr>
          <w:b/>
          <w:bCs/>
          <w:rtl/>
        </w:rPr>
        <w:t>יוזם:</w:t>
      </w:r>
      <w:r>
        <w:tab/>
      </w:r>
      <w:r>
        <w:rPr>
          <w:b/>
          <w:bCs/>
          <w:rtl/>
        </w:rPr>
        <w:t xml:space="preserve">      חבר הכנסת</w:t>
      </w:r>
      <w:bookmarkEnd w:id="3"/>
      <w:r w:rsidRPr="00F67051">
        <w:rPr>
          <w:b/>
          <w:bCs/>
        </w:rPr>
        <w:tab/>
      </w:r>
      <w:bookmarkStart w:id="4" w:name="LGS_PM_Names"/>
      <w:r>
        <w:rPr>
          <w:rFonts w:hint="cs"/>
          <w:b/>
          <w:bCs/>
          <w:rtl/>
        </w:rPr>
        <w:t>יואב בן צור</w:t>
      </w:r>
      <w:bookmarkEnd w:id="4"/>
    </w:p>
    <w:p w14:paraId="6AB36C4B" w14:textId="77777777" w:rsidR="004452FB" w:rsidRPr="00CF1AA2" w:rsidRDefault="004452FB" w:rsidP="004452FB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5" w:name="LGS_Join_List"/>
      <w:r>
        <w:rPr>
          <w:rtl/>
        </w:rPr>
        <w:t xml:space="preserve"> </w:t>
      </w:r>
      <w:bookmarkEnd w:id="5"/>
      <w:r w:rsidRPr="00CF1AA2">
        <w:rPr>
          <w:rFonts w:hint="cs"/>
          <w:rtl/>
        </w:rPr>
        <w:tab/>
      </w:r>
      <w:bookmarkStart w:id="6" w:name="LGS_PM_NamesJoin"/>
      <w:r>
        <w:rPr>
          <w:rFonts w:hint="cs"/>
          <w:rtl/>
        </w:rPr>
        <w:t xml:space="preserve"> </w:t>
      </w:r>
      <w:bookmarkEnd w:id="6"/>
    </w:p>
    <w:p w14:paraId="2A388145" w14:textId="33D07634" w:rsidR="004452FB" w:rsidRDefault="004452FB" w:rsidP="004F1992">
      <w:pPr>
        <w:pStyle w:val="David"/>
        <w:spacing w:before="0" w:line="240" w:lineRule="auto"/>
        <w:ind w:left="3544"/>
        <w:rPr>
          <w:rtl/>
        </w:rPr>
      </w:pPr>
      <w:r>
        <w:t>______________________________________________</w:t>
      </w:r>
      <w:r w:rsidRPr="00E06736">
        <w:tab/>
      </w:r>
      <w:r w:rsidR="00344108">
        <w:rPr>
          <w:rtl/>
        </w:rPr>
        <w:tab/>
      </w:r>
      <w:r w:rsidR="00344108">
        <w:rPr>
          <w:rtl/>
        </w:rPr>
        <w:tab/>
      </w:r>
      <w:r w:rsidR="00344108">
        <w:rPr>
          <w:rtl/>
        </w:rPr>
        <w:tab/>
      </w:r>
      <w:r w:rsidR="00344108">
        <w:rPr>
          <w:rtl/>
        </w:rPr>
        <w:tab/>
      </w:r>
      <w:r w:rsidR="00344108">
        <w:rPr>
          <w:rFonts w:hint="cs"/>
          <w:rtl/>
        </w:rPr>
        <w:t>פ/1472/20</w:t>
      </w:r>
      <w:r w:rsidRPr="00E06736">
        <w:rPr>
          <w:rFonts w:hint="cs"/>
          <w:rtl/>
        </w:rPr>
        <w:tab/>
      </w:r>
      <w:r w:rsidRPr="00E06736">
        <w:rPr>
          <w:rFonts w:hint="cs"/>
          <w:rtl/>
        </w:rPr>
        <w:tab/>
      </w:r>
      <w:r w:rsidRPr="00E06736">
        <w:rPr>
          <w:rFonts w:hint="cs"/>
          <w:rtl/>
        </w:rPr>
        <w:tab/>
      </w:r>
    </w:p>
    <w:p w14:paraId="54C3FD1F" w14:textId="77777777" w:rsidR="004452FB" w:rsidRPr="00F67051" w:rsidRDefault="004452FB" w:rsidP="004452FB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 xml:space="preserve">הצעת חוק ההוצאה לפועל (תיקון – מניעת עיקול מיטלטלין מבתי תפילה), </w:t>
      </w:r>
      <w:proofErr w:type="spellStart"/>
      <w:r>
        <w:rPr>
          <w:rFonts w:hint="cs"/>
          <w:rtl/>
        </w:rPr>
        <w:t>התשע"ה</w:t>
      </w:r>
      <w:proofErr w:type="spellEnd"/>
      <w:r>
        <w:rPr>
          <w:rFonts w:hint="cs"/>
          <w:rtl/>
        </w:rPr>
        <w:t>–2015</w:t>
      </w:r>
      <w:bookmarkEnd w:id="7"/>
    </w:p>
    <w:p w14:paraId="7DD26BEB" w14:textId="77777777" w:rsidR="004452FB" w:rsidRDefault="004452FB" w:rsidP="004452FB">
      <w:pPr>
        <w:pStyle w:val="HeadDivreiHesber"/>
        <w:spacing w:before="0" w:after="0"/>
        <w:rPr>
          <w:rtl/>
        </w:rPr>
      </w:pPr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3"/>
      </w:tblGrid>
      <w:tr w:rsidR="004452FB" w14:paraId="418F13A2" w14:textId="77777777" w:rsidTr="00FD22F5">
        <w:trPr>
          <w:cantSplit/>
        </w:trPr>
        <w:tc>
          <w:tcPr>
            <w:tcW w:w="1871" w:type="dxa"/>
          </w:tcPr>
          <w:p w14:paraId="0C831886" w14:textId="3BF86751" w:rsidR="004452FB" w:rsidRDefault="00FD22F5" w:rsidP="00BF1A12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</w:t>
            </w:r>
            <w:r w:rsidR="004452FB">
              <w:rPr>
                <w:rFonts w:hint="cs"/>
                <w:rtl/>
              </w:rPr>
              <w:t xml:space="preserve"> סעיף 22</w:t>
            </w:r>
          </w:p>
        </w:tc>
        <w:tc>
          <w:tcPr>
            <w:tcW w:w="624" w:type="dxa"/>
          </w:tcPr>
          <w:p w14:paraId="1C5093CA" w14:textId="6179322B" w:rsidR="004452FB" w:rsidRDefault="00E05764" w:rsidP="00BF1A12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3" w:type="dxa"/>
          </w:tcPr>
          <w:p w14:paraId="5A426E52" w14:textId="01867FBB" w:rsidR="004452FB" w:rsidRPr="00C34DE2" w:rsidRDefault="004452FB" w:rsidP="00FD22F5">
            <w:pPr>
              <w:pStyle w:val="TableBlock"/>
            </w:pPr>
            <w:r>
              <w:rPr>
                <w:rFonts w:hint="cs"/>
                <w:rtl/>
              </w:rPr>
              <w:t xml:space="preserve">בחוק ההוצאה לפועל, </w:t>
            </w:r>
            <w:proofErr w:type="spellStart"/>
            <w:r>
              <w:rPr>
                <w:rFonts w:hint="cs"/>
                <w:rtl/>
              </w:rPr>
              <w:t>התשכ"ז</w:t>
            </w:r>
            <w:proofErr w:type="spellEnd"/>
            <w:r>
              <w:rPr>
                <w:rFonts w:hint="cs"/>
                <w:rtl/>
              </w:rPr>
              <w:t>–1967</w:t>
            </w:r>
            <w:r>
              <w:rPr>
                <w:rStyle w:val="a5"/>
                <w:rtl/>
              </w:rPr>
              <w:footnoteReference w:id="2"/>
            </w:r>
            <w:r w:rsidR="00815757">
              <w:rPr>
                <w:rFonts w:hint="cs"/>
                <w:rtl/>
              </w:rPr>
              <w:t>, ב</w:t>
            </w:r>
            <w:r>
              <w:rPr>
                <w:rFonts w:hint="cs"/>
                <w:rtl/>
              </w:rPr>
              <w:t>סעיף 22(א)</w:t>
            </w:r>
            <w:r w:rsidR="00E05764">
              <w:rPr>
                <w:rFonts w:hint="cs"/>
                <w:rtl/>
              </w:rPr>
              <w:t>,</w:t>
            </w:r>
            <w:r w:rsidR="0081575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אחרי פסקה (8) יבוא:</w:t>
            </w:r>
          </w:p>
        </w:tc>
      </w:tr>
      <w:tr w:rsidR="00FD22F5" w14:paraId="3336D886" w14:textId="77777777" w:rsidTr="00FD22F5">
        <w:trPr>
          <w:cantSplit/>
        </w:trPr>
        <w:tc>
          <w:tcPr>
            <w:tcW w:w="1871" w:type="dxa"/>
          </w:tcPr>
          <w:p w14:paraId="2C6AF15A" w14:textId="77777777" w:rsidR="00FD22F5" w:rsidRDefault="00FD22F5" w:rsidP="00BF1A12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1DB9CACF" w14:textId="77777777" w:rsidR="00FD22F5" w:rsidRDefault="00FD22F5" w:rsidP="00FD22F5">
            <w:pPr>
              <w:pStyle w:val="TableText"/>
            </w:pPr>
          </w:p>
        </w:tc>
        <w:tc>
          <w:tcPr>
            <w:tcW w:w="7143" w:type="dxa"/>
          </w:tcPr>
          <w:p w14:paraId="7BA63B1E" w14:textId="738A05A8" w:rsidR="00FD22F5" w:rsidRDefault="00FD22F5" w:rsidP="00FD22F5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"(9)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היה החייב בית כנסת מסגד או כנסיה, לא יעוקלו או יוצאו מיטלטליו."</w:t>
            </w:r>
          </w:p>
        </w:tc>
      </w:tr>
    </w:tbl>
    <w:p w14:paraId="082FECC5" w14:textId="0B04BAF9" w:rsidR="004452FB" w:rsidRDefault="000B6762" w:rsidP="004452FB">
      <w:pPr>
        <w:pStyle w:val="HeadDivreiHesber"/>
        <w:rPr>
          <w:rtl/>
        </w:rPr>
      </w:pPr>
      <w:r>
        <w:rPr>
          <w:rFonts w:hint="cs"/>
          <w:rtl/>
        </w:rPr>
        <w:t>דברי</w:t>
      </w:r>
      <w:r w:rsidR="004452FB">
        <w:rPr>
          <w:rFonts w:hint="cs"/>
          <w:rtl/>
        </w:rPr>
        <w:t xml:space="preserve"> </w:t>
      </w:r>
      <w:r w:rsidR="004452FB" w:rsidRPr="0027450A">
        <w:rPr>
          <w:rFonts w:hint="cs"/>
          <w:rtl/>
        </w:rPr>
        <w:t>הסבר</w:t>
      </w:r>
    </w:p>
    <w:p w14:paraId="319AEADA" w14:textId="7A4E71E3" w:rsidR="004452FB" w:rsidRPr="00FD22F5" w:rsidRDefault="004452FB" w:rsidP="00FD22F5">
      <w:pPr>
        <w:pStyle w:val="Hesber"/>
        <w:rPr>
          <w:rtl/>
        </w:rPr>
      </w:pPr>
      <w:r w:rsidRPr="00FD22F5">
        <w:rPr>
          <w:rFonts w:hint="cs"/>
          <w:rtl/>
        </w:rPr>
        <w:t>במצב הדברים הקיים</w:t>
      </w:r>
      <w:r w:rsidR="000B6762">
        <w:rPr>
          <w:rFonts w:hint="cs"/>
          <w:rtl/>
        </w:rPr>
        <w:t xml:space="preserve"> כאשר בית כנסת, מסגד או כנסיה</w:t>
      </w:r>
      <w:r w:rsidR="00E05764">
        <w:rPr>
          <w:rFonts w:hint="cs"/>
          <w:rtl/>
        </w:rPr>
        <w:t xml:space="preserve"> חייבים ומתנהלים </w:t>
      </w:r>
      <w:r w:rsidRPr="00FD22F5">
        <w:rPr>
          <w:rFonts w:hint="cs"/>
          <w:rtl/>
        </w:rPr>
        <w:t>נגדם הליכי הוצאה לפועל אין מניעה כי יעוקלו מיטלטלי</w:t>
      </w:r>
      <w:r w:rsidRPr="00FD22F5">
        <w:rPr>
          <w:rFonts w:hint="eastAsia"/>
          <w:rtl/>
        </w:rPr>
        <w:t>ן</w:t>
      </w:r>
      <w:r w:rsidR="00E05764">
        <w:rPr>
          <w:rFonts w:hint="cs"/>
          <w:rtl/>
        </w:rPr>
        <w:t xml:space="preserve"> מהמקום.</w:t>
      </w:r>
      <w:r w:rsidRPr="00FD22F5">
        <w:rPr>
          <w:rFonts w:hint="cs"/>
          <w:rtl/>
        </w:rPr>
        <w:t xml:space="preserve"> כאשר הליך זה מתנהל יש בכך פגיעה חמורה ברגשות המתפללים ובקדושת המקום.</w:t>
      </w:r>
    </w:p>
    <w:p w14:paraId="1F308A42" w14:textId="329DA3E9" w:rsidR="004452FB" w:rsidRPr="00FD22F5" w:rsidRDefault="004452FB" w:rsidP="00FD22F5">
      <w:pPr>
        <w:pStyle w:val="Hesber"/>
        <w:rPr>
          <w:rtl/>
        </w:rPr>
      </w:pPr>
      <w:r w:rsidRPr="00FD22F5">
        <w:rPr>
          <w:rFonts w:hint="cs"/>
          <w:rtl/>
        </w:rPr>
        <w:t>חרף המוצע בהצעת חוק זו</w:t>
      </w:r>
      <w:r w:rsidR="00E05764">
        <w:rPr>
          <w:rFonts w:hint="cs"/>
          <w:rtl/>
        </w:rPr>
        <w:t xml:space="preserve">, אין מניעה כי אפשר יהיה לפעול </w:t>
      </w:r>
      <w:r w:rsidRPr="00FD22F5">
        <w:rPr>
          <w:rFonts w:hint="cs"/>
          <w:rtl/>
        </w:rPr>
        <w:t xml:space="preserve">נגד חייבים אלו באמצעות עיקולי בנקים ותפיסת כספים אחרים לטובת תשלום החוב, תוך פגיעה מינימאלית בקדושת המקומות הקדושים, במקום שאין בכך צורך. </w:t>
      </w:r>
    </w:p>
    <w:p w14:paraId="2434D062" w14:textId="5061E41A" w:rsidR="004452FB" w:rsidRPr="00FD22F5" w:rsidRDefault="004452FB" w:rsidP="00FD22F5">
      <w:pPr>
        <w:pStyle w:val="Hesber"/>
      </w:pPr>
      <w:r w:rsidRPr="00FD22F5">
        <w:rPr>
          <w:rFonts w:hint="cs"/>
          <w:rtl/>
        </w:rPr>
        <w:t>הצעת החוק מבקשת להורות כי בנוסף לתשמישי קדושה הפטורים מעיקול בהתא</w:t>
      </w:r>
      <w:r w:rsidR="00FD22F5">
        <w:rPr>
          <w:rFonts w:hint="cs"/>
          <w:rtl/>
        </w:rPr>
        <w:t xml:space="preserve">ם לחוק, בבתי כנסת מסגדים </w:t>
      </w:r>
      <w:r w:rsidRPr="00FD22F5">
        <w:rPr>
          <w:rFonts w:hint="cs"/>
          <w:rtl/>
        </w:rPr>
        <w:t>או כנסיות לא יתאפשר עיקול מיטלטלין לטובת גביית החוב בהוצאה לפועל.</w:t>
      </w:r>
    </w:p>
    <w:p w14:paraId="192B013E" w14:textId="77777777" w:rsidR="004452FB" w:rsidRPr="002C071B" w:rsidRDefault="004452FB" w:rsidP="004452FB">
      <w:pPr>
        <w:pStyle w:val="Hesber"/>
        <w:rPr>
          <w:rtl/>
        </w:rPr>
      </w:pPr>
    </w:p>
    <w:p w14:paraId="7F6961CB" w14:textId="77777777" w:rsidR="00E13C27" w:rsidRDefault="00E13C27" w:rsidP="004452FB">
      <w:pPr>
        <w:rPr>
          <w:rtl/>
        </w:rPr>
      </w:pPr>
    </w:p>
    <w:p w14:paraId="64C11566" w14:textId="1D3F8911" w:rsidR="00E05764" w:rsidRDefault="00E05764" w:rsidP="004452FB">
      <w:pPr>
        <w:rPr>
          <w:rtl/>
        </w:rPr>
      </w:pPr>
    </w:p>
    <w:p w14:paraId="4AF62A13" w14:textId="77777777" w:rsidR="00E05764" w:rsidRDefault="00E05764" w:rsidP="00E05764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---------------------------------</w:t>
      </w:r>
    </w:p>
    <w:p w14:paraId="60B8E933" w14:textId="77777777" w:rsidR="00E05764" w:rsidRDefault="00E05764" w:rsidP="00E05764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הוגשה ליו"ר הכנסת והסגנים</w:t>
      </w:r>
    </w:p>
    <w:p w14:paraId="30D7429D" w14:textId="77777777" w:rsidR="00E05764" w:rsidRDefault="00E05764" w:rsidP="00E05764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והונחה על שולחן הכנסת ביום</w:t>
      </w:r>
    </w:p>
    <w:p w14:paraId="4D2348E4" w14:textId="77777777" w:rsidR="00E05764" w:rsidRDefault="00E05764" w:rsidP="00E05764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ה' בתמוז </w:t>
      </w:r>
      <w:proofErr w:type="spellStart"/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התשע"ה</w:t>
      </w:r>
      <w:proofErr w:type="spellEnd"/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– 22.6.15</w:t>
      </w:r>
    </w:p>
    <w:p w14:paraId="0CD68882" w14:textId="77777777" w:rsidR="00E05764" w:rsidRPr="004452FB" w:rsidRDefault="00E05764" w:rsidP="004452FB">
      <w:pPr>
        <w:rPr>
          <w:rtl/>
        </w:rPr>
      </w:pPr>
    </w:p>
    <w:sectPr w:rsidR="00E05764" w:rsidRPr="004452FB" w:rsidSect="001207F8">
      <w:footerReference w:type="even" r:id="rId12"/>
      <w:footerReference w:type="default" r:id="rId13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21DB5F7F" w14:textId="77777777" w:rsidR="004452FB" w:rsidRDefault="004452FB" w:rsidP="004452FB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התשכ"ז</w:t>
      </w:r>
      <w:proofErr w:type="spellEnd"/>
      <w:r>
        <w:rPr>
          <w:rFonts w:hint="cs"/>
          <w:rtl/>
        </w:rPr>
        <w:t>, עמ' 116.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0B6762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071B"/>
    <w:rsid w:val="002C2E29"/>
    <w:rsid w:val="002C3041"/>
    <w:rsid w:val="002D1EE3"/>
    <w:rsid w:val="002F1D80"/>
    <w:rsid w:val="003232A2"/>
    <w:rsid w:val="00325C14"/>
    <w:rsid w:val="00344108"/>
    <w:rsid w:val="0036422C"/>
    <w:rsid w:val="003710F6"/>
    <w:rsid w:val="00386E88"/>
    <w:rsid w:val="00396585"/>
    <w:rsid w:val="003B0144"/>
    <w:rsid w:val="003D6E38"/>
    <w:rsid w:val="003D74A0"/>
    <w:rsid w:val="004033D8"/>
    <w:rsid w:val="004073F0"/>
    <w:rsid w:val="00412A7D"/>
    <w:rsid w:val="00416B4D"/>
    <w:rsid w:val="00417CFC"/>
    <w:rsid w:val="004452FB"/>
    <w:rsid w:val="004A06DC"/>
    <w:rsid w:val="004B24ED"/>
    <w:rsid w:val="004B6625"/>
    <w:rsid w:val="004D2D82"/>
    <w:rsid w:val="004D3876"/>
    <w:rsid w:val="004E4552"/>
    <w:rsid w:val="004E6CDF"/>
    <w:rsid w:val="004F1992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C3FA6"/>
    <w:rsid w:val="007D585A"/>
    <w:rsid w:val="007D5A12"/>
    <w:rsid w:val="007E59F9"/>
    <w:rsid w:val="00810BCD"/>
    <w:rsid w:val="00812C98"/>
    <w:rsid w:val="00814D92"/>
    <w:rsid w:val="00815757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9176A"/>
    <w:rsid w:val="00CF0E55"/>
    <w:rsid w:val="00CF1AA2"/>
    <w:rsid w:val="00D17774"/>
    <w:rsid w:val="00D63620"/>
    <w:rsid w:val="00D8410D"/>
    <w:rsid w:val="00D867D7"/>
    <w:rsid w:val="00DB7060"/>
    <w:rsid w:val="00DE3153"/>
    <w:rsid w:val="00E05764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  <w:rsid w:val="00F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F5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FD22F5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FD22F5"/>
    <w:rPr>
      <w:sz w:val="36"/>
      <w:szCs w:val="52"/>
    </w:rPr>
  </w:style>
  <w:style w:type="paragraph" w:customStyle="1" w:styleId="Cover3-Haknesset">
    <w:name w:val="Cover 3-Haknesset"/>
    <w:basedOn w:val="Cover1-Reshumot"/>
    <w:rsid w:val="00FD22F5"/>
    <w:rPr>
      <w:b/>
      <w:bCs/>
      <w:spacing w:val="60"/>
    </w:rPr>
  </w:style>
  <w:style w:type="paragraph" w:customStyle="1" w:styleId="Cover4-Date">
    <w:name w:val="Cover 4-Date"/>
    <w:basedOn w:val="a"/>
    <w:rsid w:val="00FD22F5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FD22F5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FD22F5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FD22F5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FD22F5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FD22F5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FD22F5"/>
  </w:style>
  <w:style w:type="paragraph" w:customStyle="1" w:styleId="TableBlock">
    <w:name w:val="Table Block"/>
    <w:basedOn w:val="TableText"/>
    <w:rsid w:val="00FD22F5"/>
    <w:pPr>
      <w:ind w:right="0"/>
      <w:jc w:val="both"/>
    </w:pPr>
  </w:style>
  <w:style w:type="paragraph" w:customStyle="1" w:styleId="TableHead">
    <w:name w:val="Table Head"/>
    <w:basedOn w:val="TableText"/>
    <w:rsid w:val="00FD22F5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FD22F5"/>
  </w:style>
  <w:style w:type="paragraph" w:customStyle="1" w:styleId="Hesber">
    <w:name w:val="Hesber"/>
    <w:basedOn w:val="a"/>
    <w:rsid w:val="00FD22F5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FD22F5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FD22F5"/>
    <w:rPr>
      <w:vertAlign w:val="superscript"/>
    </w:rPr>
  </w:style>
  <w:style w:type="paragraph" w:customStyle="1" w:styleId="HesberHeading">
    <w:name w:val="Hesber Heading"/>
    <w:basedOn w:val="Hesber"/>
    <w:rsid w:val="00FD22F5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FD22F5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FD22F5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FD22F5"/>
    <w:rPr>
      <w:vertAlign w:val="superscript"/>
    </w:rPr>
  </w:style>
  <w:style w:type="paragraph" w:customStyle="1" w:styleId="TableBlockOutdent">
    <w:name w:val="Table BlockOutdent"/>
    <w:basedOn w:val="TableBlock"/>
    <w:rsid w:val="00FD22F5"/>
    <w:pPr>
      <w:ind w:left="624" w:hanging="624"/>
    </w:pPr>
  </w:style>
  <w:style w:type="paragraph" w:styleId="a7">
    <w:name w:val="header"/>
    <w:basedOn w:val="a"/>
    <w:rsid w:val="00FD22F5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FD22F5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FD22F5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FD22F5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FD22F5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F5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FD22F5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FD22F5"/>
    <w:rPr>
      <w:sz w:val="36"/>
      <w:szCs w:val="52"/>
    </w:rPr>
  </w:style>
  <w:style w:type="paragraph" w:customStyle="1" w:styleId="Cover3-Haknesset">
    <w:name w:val="Cover 3-Haknesset"/>
    <w:basedOn w:val="Cover1-Reshumot"/>
    <w:rsid w:val="00FD22F5"/>
    <w:rPr>
      <w:b/>
      <w:bCs/>
      <w:spacing w:val="60"/>
    </w:rPr>
  </w:style>
  <w:style w:type="paragraph" w:customStyle="1" w:styleId="Cover4-Date">
    <w:name w:val="Cover 4-Date"/>
    <w:basedOn w:val="a"/>
    <w:rsid w:val="00FD22F5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FD22F5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FD22F5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FD22F5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FD22F5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FD22F5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FD22F5"/>
  </w:style>
  <w:style w:type="paragraph" w:customStyle="1" w:styleId="TableBlock">
    <w:name w:val="Table Block"/>
    <w:basedOn w:val="TableText"/>
    <w:rsid w:val="00FD22F5"/>
    <w:pPr>
      <w:ind w:right="0"/>
      <w:jc w:val="both"/>
    </w:pPr>
  </w:style>
  <w:style w:type="paragraph" w:customStyle="1" w:styleId="TableHead">
    <w:name w:val="Table Head"/>
    <w:basedOn w:val="TableText"/>
    <w:rsid w:val="00FD22F5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FD22F5"/>
  </w:style>
  <w:style w:type="paragraph" w:customStyle="1" w:styleId="Hesber">
    <w:name w:val="Hesber"/>
    <w:basedOn w:val="a"/>
    <w:rsid w:val="00FD22F5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FD22F5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FD22F5"/>
    <w:rPr>
      <w:vertAlign w:val="superscript"/>
    </w:rPr>
  </w:style>
  <w:style w:type="paragraph" w:customStyle="1" w:styleId="HesberHeading">
    <w:name w:val="Hesber Heading"/>
    <w:basedOn w:val="Hesber"/>
    <w:rsid w:val="00FD22F5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FD22F5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FD22F5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FD22F5"/>
    <w:rPr>
      <w:vertAlign w:val="superscript"/>
    </w:rPr>
  </w:style>
  <w:style w:type="paragraph" w:customStyle="1" w:styleId="TableBlockOutdent">
    <w:name w:val="Table BlockOutdent"/>
    <w:basedOn w:val="TableBlock"/>
    <w:rsid w:val="00FD22F5"/>
    <w:pPr>
      <w:ind w:left="624" w:hanging="624"/>
    </w:pPr>
  </w:style>
  <w:style w:type="paragraph" w:styleId="a7">
    <w:name w:val="header"/>
    <w:basedOn w:val="a"/>
    <w:rsid w:val="00FD22F5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FD22F5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FD22F5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FD22F5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FD22F5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72698-99C8-4B08-A420-27FBD4F5A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60084-F870-46F7-9E6A-FF690B38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864</Characters>
  <Application>Microsoft Office Word</Application>
  <DocSecurity>4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עידן פז</cp:lastModifiedBy>
  <cp:revision>2</cp:revision>
  <cp:lastPrinted>2015-06-11T11:18:00Z</cp:lastPrinted>
  <dcterms:created xsi:type="dcterms:W3CDTF">2015-10-27T12:43:00Z</dcterms:created>
  <dcterms:modified xsi:type="dcterms:W3CDTF">2015-10-27T12:43:00Z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564843</vt:r8>
  </property>
</Properties>
</file>