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00131B" w:rsidRDefault="004033D8" w:rsidP="00A443CF">
      <w:pPr>
        <w:pStyle w:val="HeadHatzaotHok"/>
        <w:jc w:val="right"/>
        <w:rPr>
          <w:b w:val="0"/>
          <w:bCs w:val="0"/>
          <w:szCs w:val="20"/>
        </w:rPr>
      </w:pPr>
      <w:r w:rsidRPr="0000131B">
        <w:rPr>
          <w:rFonts w:hint="cs"/>
          <w:b w:val="0"/>
          <w:bCs w:val="0"/>
          <w:szCs w:val="20"/>
          <w:rtl/>
        </w:rPr>
        <w:t xml:space="preserve">מספר פנימי: </w:t>
      </w:r>
      <w:bookmarkStart w:id="0" w:name="LGS_Internal_ID"/>
      <w:r>
        <w:rPr>
          <w:rFonts w:hint="cs"/>
          <w:b w:val="0"/>
          <w:bCs w:val="0"/>
          <w:szCs w:val="20"/>
          <w:rtl/>
        </w:rPr>
        <w:t>564711</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w:t>
      </w:r>
      <w:bookmarkEnd w:id="1"/>
    </w:p>
    <w:p w14:paraId="7F6961A3" w14:textId="77777777" w:rsidR="00E13C27" w:rsidRPr="00F67051" w:rsidRDefault="00E13C27" w:rsidP="00E13C27">
      <w:pPr>
        <w:rPr>
          <w:rFonts w:cs="David"/>
          <w:b/>
          <w:bCs/>
          <w:sz w:val="26"/>
          <w:szCs w:val="26"/>
          <w:rtl/>
        </w:rPr>
      </w:pPr>
    </w:p>
    <w:p w14:paraId="7F6961A6" w14:textId="77777777" w:rsidR="00E13C27" w:rsidRDefault="008F6665" w:rsidP="00930EFE">
      <w:pPr>
        <w:pStyle w:val="David"/>
        <w:spacing w:line="360" w:lineRule="auto"/>
        <w:ind w:left="3544"/>
        <w:rPr>
          <w:b/>
          <w:bCs/>
          <w:rtl/>
        </w:rPr>
      </w:pPr>
      <w:bookmarkStart w:id="2" w:name="LGS_Initiators_List"/>
      <w:r>
        <w:rPr>
          <w:b/>
          <w:bCs/>
          <w:rtl/>
        </w:rPr>
        <w:t>יוזמים:      חברי הכנסת</w:t>
      </w:r>
      <w:bookmarkEnd w:id="2"/>
      <w:r w:rsidR="00B35784" w:rsidRPr="00F67051">
        <w:rPr>
          <w:b/>
          <w:bCs/>
        </w:rPr>
        <w:tab/>
      </w:r>
      <w:bookmarkStart w:id="3" w:name="LGS_PM_Names"/>
      <w:r>
        <w:rPr>
          <w:rFonts w:hint="cs"/>
          <w:b/>
          <w:bCs/>
          <w:rtl/>
        </w:rPr>
        <w:t>מיכל רוזין</w:t>
      </w:r>
      <w:r>
        <w:br/>
      </w:r>
      <w:r>
        <w:rPr>
          <w:rFonts w:hint="cs"/>
          <w:b/>
          <w:bCs/>
          <w:rtl/>
        </w:rPr>
        <w:t xml:space="preserve"> </w:t>
      </w:r>
      <w:r>
        <w:tab/>
      </w:r>
      <w:r>
        <w:tab/>
      </w:r>
      <w:r>
        <w:tab/>
      </w:r>
      <w:r>
        <w:tab/>
      </w:r>
      <w:r>
        <w:rPr>
          <w:rFonts w:hint="cs"/>
          <w:b/>
          <w:bCs/>
          <w:rtl/>
        </w:rPr>
        <w:t>עליזה לביא</w:t>
      </w:r>
      <w:r>
        <w:br/>
      </w:r>
      <w:r>
        <w:rPr>
          <w:rFonts w:hint="cs"/>
          <w:b/>
          <w:bCs/>
          <w:rtl/>
        </w:rPr>
        <w:t xml:space="preserve"> </w:t>
      </w:r>
      <w:r>
        <w:tab/>
      </w:r>
      <w:r>
        <w:tab/>
      </w:r>
      <w:r>
        <w:tab/>
      </w:r>
      <w:r>
        <w:tab/>
      </w:r>
      <w:r>
        <w:rPr>
          <w:rFonts w:hint="cs"/>
          <w:b/>
          <w:bCs/>
          <w:rtl/>
        </w:rPr>
        <w:t>עאידה תומא סלימאן</w:t>
      </w:r>
      <w:r>
        <w:br/>
      </w:r>
      <w:r>
        <w:rPr>
          <w:rFonts w:hint="cs"/>
          <w:b/>
          <w:bCs/>
          <w:rtl/>
        </w:rPr>
        <w:t xml:space="preserve"> </w:t>
      </w:r>
      <w:r>
        <w:tab/>
      </w:r>
      <w:r>
        <w:tab/>
      </w:r>
      <w:r>
        <w:tab/>
      </w:r>
      <w:r>
        <w:tab/>
      </w:r>
      <w:r>
        <w:rPr>
          <w:rFonts w:hint="cs"/>
          <w:b/>
          <w:bCs/>
          <w:rtl/>
        </w:rPr>
        <w:t>יוסי יונה</w:t>
      </w:r>
      <w:r>
        <w:br/>
      </w:r>
      <w:r>
        <w:rPr>
          <w:rFonts w:hint="cs"/>
          <w:b/>
          <w:bCs/>
          <w:rtl/>
        </w:rPr>
        <w:t xml:space="preserve"> </w:t>
      </w:r>
      <w:r>
        <w:tab/>
      </w:r>
      <w:r>
        <w:tab/>
      </w:r>
      <w:r>
        <w:tab/>
      </w:r>
      <w:r>
        <w:tab/>
      </w:r>
      <w:r>
        <w:rPr>
          <w:rFonts w:hint="cs"/>
          <w:b/>
          <w:bCs/>
          <w:rtl/>
        </w:rPr>
        <w:t>נחמן שי</w:t>
      </w:r>
      <w:r>
        <w:br/>
      </w:r>
      <w:r>
        <w:rPr>
          <w:rFonts w:hint="cs"/>
          <w:b/>
          <w:bCs/>
          <w:rtl/>
        </w:rPr>
        <w:t xml:space="preserve"> </w:t>
      </w:r>
      <w:r>
        <w:tab/>
      </w:r>
      <w:r>
        <w:tab/>
      </w:r>
      <w:r>
        <w:tab/>
      </w:r>
      <w:r>
        <w:tab/>
      </w:r>
      <w:r>
        <w:rPr>
          <w:rFonts w:hint="cs"/>
          <w:b/>
          <w:bCs/>
          <w:rtl/>
        </w:rPr>
        <w:t>תמר זנדברג</w:t>
      </w:r>
      <w:r>
        <w:br/>
      </w:r>
      <w:r>
        <w:rPr>
          <w:rFonts w:hint="cs"/>
          <w:b/>
          <w:bCs/>
          <w:rtl/>
        </w:rPr>
        <w:t xml:space="preserve"> </w:t>
      </w:r>
      <w:r>
        <w:tab/>
      </w:r>
      <w:r>
        <w:tab/>
      </w:r>
      <w:r>
        <w:tab/>
      </w:r>
      <w:r>
        <w:tab/>
      </w:r>
      <w:r>
        <w:rPr>
          <w:rFonts w:hint="cs"/>
          <w:b/>
          <w:bCs/>
          <w:rtl/>
        </w:rPr>
        <w:t>מיכל בירן</w:t>
      </w:r>
      <w:r>
        <w:br/>
      </w:r>
      <w:r>
        <w:rPr>
          <w:rFonts w:hint="cs"/>
          <w:b/>
          <w:bCs/>
          <w:rtl/>
        </w:rPr>
        <w:t xml:space="preserve"> </w:t>
      </w:r>
      <w:r>
        <w:tab/>
      </w:r>
      <w:r>
        <w:tab/>
      </w:r>
      <w:r>
        <w:tab/>
      </w:r>
      <w:r>
        <w:tab/>
      </w:r>
      <w:r>
        <w:rPr>
          <w:rFonts w:hint="cs"/>
          <w:b/>
          <w:bCs/>
          <w:rtl/>
        </w:rPr>
        <w:t>מיקי לוי</w:t>
      </w:r>
      <w:r>
        <w:br/>
      </w:r>
      <w:r>
        <w:rPr>
          <w:rFonts w:hint="cs"/>
          <w:b/>
          <w:bCs/>
          <w:rtl/>
        </w:rPr>
        <w:t xml:space="preserve"> </w:t>
      </w:r>
      <w:r>
        <w:tab/>
      </w:r>
      <w:r>
        <w:tab/>
      </w:r>
      <w:r>
        <w:tab/>
      </w:r>
      <w:r>
        <w:tab/>
      </w:r>
      <w:r>
        <w:rPr>
          <w:rFonts w:hint="cs"/>
          <w:b/>
          <w:bCs/>
          <w:rtl/>
        </w:rPr>
        <w:t>מאיר כהן</w:t>
      </w:r>
      <w:r>
        <w:br/>
      </w:r>
      <w:r>
        <w:rPr>
          <w:rFonts w:hint="cs"/>
          <w:b/>
          <w:bCs/>
          <w:rtl/>
        </w:rPr>
        <w:t xml:space="preserve"> </w:t>
      </w:r>
      <w:r>
        <w:tab/>
      </w:r>
      <w:r>
        <w:tab/>
      </w:r>
      <w:r>
        <w:tab/>
      </w:r>
      <w:r>
        <w:tab/>
      </w:r>
      <w:r>
        <w:rPr>
          <w:rFonts w:hint="cs"/>
          <w:b/>
          <w:bCs/>
          <w:rtl/>
        </w:rPr>
        <w:t>דב חנין</w:t>
      </w:r>
      <w:r>
        <w:br/>
      </w:r>
      <w:r>
        <w:rPr>
          <w:rFonts w:hint="cs"/>
          <w:b/>
          <w:bCs/>
          <w:rtl/>
        </w:rPr>
        <w:t xml:space="preserve"> </w:t>
      </w:r>
      <w:r>
        <w:tab/>
      </w:r>
      <w:r>
        <w:tab/>
      </w:r>
      <w:r>
        <w:tab/>
      </w:r>
      <w:r>
        <w:tab/>
      </w:r>
      <w:r>
        <w:rPr>
          <w:rFonts w:hint="cs"/>
          <w:b/>
          <w:bCs/>
          <w:rtl/>
        </w:rPr>
        <w:t>ינון מגל</w:t>
      </w:r>
      <w:r>
        <w:br/>
      </w:r>
      <w:r>
        <w:rPr>
          <w:rFonts w:hint="cs"/>
          <w:b/>
          <w:bCs/>
          <w:rtl/>
        </w:rPr>
        <w:t xml:space="preserve"> </w:t>
      </w:r>
      <w:r>
        <w:tab/>
      </w:r>
      <w:r>
        <w:tab/>
      </w:r>
      <w:r>
        <w:tab/>
      </w:r>
      <w:r>
        <w:tab/>
      </w:r>
      <w:r>
        <w:rPr>
          <w:rFonts w:hint="cs"/>
          <w:b/>
          <w:bCs/>
          <w:rtl/>
        </w:rPr>
        <w:t>יפעת שאשא ביטון</w:t>
      </w:r>
      <w:r>
        <w:br/>
      </w:r>
      <w:r>
        <w:rPr>
          <w:rFonts w:hint="cs"/>
          <w:b/>
          <w:bCs/>
          <w:rtl/>
        </w:rPr>
        <w:t xml:space="preserve"> </w:t>
      </w:r>
      <w:r>
        <w:tab/>
      </w:r>
      <w:r>
        <w:tab/>
      </w:r>
      <w:r>
        <w:tab/>
      </w:r>
      <w:r>
        <w:tab/>
      </w:r>
      <w:r>
        <w:rPr>
          <w:rFonts w:hint="cs"/>
          <w:b/>
          <w:bCs/>
          <w:rtl/>
        </w:rPr>
        <w:t>בצלאל סמוטריץ'</w:t>
      </w:r>
      <w:r>
        <w:br/>
      </w:r>
      <w:r>
        <w:rPr>
          <w:rFonts w:hint="cs"/>
          <w:b/>
          <w:bCs/>
          <w:rtl/>
        </w:rPr>
        <w:t xml:space="preserve"> </w:t>
      </w:r>
      <w:r>
        <w:tab/>
      </w:r>
      <w:r>
        <w:tab/>
      </w:r>
      <w:r>
        <w:tab/>
      </w:r>
      <w:r>
        <w:tab/>
      </w:r>
      <w:r>
        <w:rPr>
          <w:rFonts w:hint="cs"/>
          <w:b/>
          <w:bCs/>
          <w:rtl/>
        </w:rPr>
        <w:t>רחל עזריה</w:t>
      </w:r>
      <w:r>
        <w:br/>
      </w:r>
      <w:r>
        <w:rPr>
          <w:rFonts w:hint="cs"/>
          <w:b/>
          <w:bCs/>
          <w:rtl/>
        </w:rPr>
        <w:t xml:space="preserve"> </w:t>
      </w:r>
      <w:r>
        <w:tab/>
      </w:r>
      <w:r>
        <w:tab/>
      </w:r>
      <w:r>
        <w:tab/>
      </w:r>
      <w:r>
        <w:tab/>
      </w:r>
      <w:r>
        <w:rPr>
          <w:rFonts w:hint="cs"/>
          <w:b/>
          <w:bCs/>
          <w:rtl/>
        </w:rPr>
        <w:t>עפר שלח</w:t>
      </w:r>
      <w:bookmarkEnd w:id="3"/>
    </w:p>
    <w:p w14:paraId="7F6961AA" w14:textId="39F9D96B" w:rsidR="00E13C27" w:rsidRPr="00CF1AA2" w:rsidRDefault="007D585A" w:rsidP="0036422C">
      <w:pPr>
        <w:pStyle w:val="David"/>
        <w:spacing w:before="0" w:line="360" w:lineRule="auto"/>
        <w:ind w:left="3544"/>
        <w:rPr>
          <w:b/>
          <w:bCs/>
          <w:sz w:val="16"/>
          <w:szCs w:val="16"/>
          <w:rtl/>
        </w:rPr>
      </w:pPr>
      <w:bookmarkStart w:id="4" w:name="LGS_Join_List"/>
      <w:r>
        <w:rPr>
          <w:rtl/>
        </w:rPr>
        <w:t>______________________________________________</w:t>
      </w:r>
      <w:r>
        <w:br/>
      </w:r>
      <w:r>
        <w:rPr>
          <w:rtl/>
        </w:rPr>
        <w:t>מצטרפים: חברי הכנסת</w:t>
      </w:r>
      <w:bookmarkEnd w:id="4"/>
      <w:r w:rsidR="002200A1" w:rsidRPr="00CF1AA2">
        <w:rPr>
          <w:rFonts w:hint="cs"/>
          <w:rtl/>
        </w:rPr>
        <w:tab/>
      </w:r>
      <w:bookmarkStart w:id="5" w:name="LGS_PM_NamesJoin"/>
      <w:r>
        <w:rPr>
          <w:rFonts w:hint="cs"/>
          <w:rtl/>
        </w:rPr>
        <w:t>יואל חסון</w:t>
      </w:r>
      <w:r>
        <w:br/>
      </w:r>
      <w:r>
        <w:rPr>
          <w:rFonts w:hint="cs"/>
          <w:rtl/>
        </w:rPr>
        <w:t xml:space="preserve"> </w:t>
      </w:r>
      <w:r>
        <w:tab/>
      </w:r>
      <w:r>
        <w:tab/>
      </w:r>
      <w:r>
        <w:tab/>
      </w:r>
      <w:r>
        <w:tab/>
      </w:r>
      <w:r>
        <w:rPr>
          <w:rFonts w:hint="cs"/>
          <w:rtl/>
        </w:rPr>
        <w:t>מרב מיכאלי</w:t>
      </w:r>
      <w:bookmarkEnd w:id="5"/>
    </w:p>
    <w:p w14:paraId="34DB4103" w14:textId="77777777" w:rsidR="00904591" w:rsidRPr="00904591" w:rsidRDefault="00266D86" w:rsidP="0036422C">
      <w:pPr>
        <w:pStyle w:val="David"/>
        <w:spacing w:before="0" w:line="360" w:lineRule="auto"/>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B" w14:textId="256138AA" w:rsidR="00E13C27" w:rsidRPr="00E06736" w:rsidRDefault="00904591" w:rsidP="00904591">
      <w:pPr>
        <w:pStyle w:val="David"/>
        <w:spacing w:before="0" w:line="240" w:lineRule="auto"/>
        <w:ind w:left="3544"/>
        <w:rPr>
          <w:rtl/>
        </w:rPr>
      </w:pPr>
      <w:r>
        <w:t xml:space="preserve">                                            </w:t>
      </w:r>
      <w:r w:rsidR="008F1308">
        <w:t xml:space="preserve"> </w:t>
      </w:r>
      <w:bookmarkStart w:id="6" w:name="Private_Number"/>
      <w:r>
        <w:rPr>
          <w:rFonts w:hint="cs"/>
          <w:rtl/>
        </w:rPr>
        <w:t>פ/2059/20</w:t>
      </w:r>
      <w:bookmarkEnd w:id="6"/>
    </w:p>
    <w:p w14:paraId="7F6961AC" w14:textId="77777777" w:rsidR="00E13C27" w:rsidRDefault="00E13C27" w:rsidP="00E13C27">
      <w:pPr>
        <w:spacing w:before="0" w:line="360" w:lineRule="auto"/>
        <w:ind w:left="2880" w:firstLine="720"/>
        <w:rPr>
          <w:rFonts w:cs="David"/>
          <w:sz w:val="26"/>
          <w:szCs w:val="26"/>
          <w:rtl/>
        </w:rPr>
      </w:pPr>
    </w:p>
    <w:p w14:paraId="7F6961AD" w14:textId="08F3FD3B" w:rsidR="00E13C27" w:rsidRPr="00F67051" w:rsidRDefault="00A443CF" w:rsidP="0021633A">
      <w:pPr>
        <w:pStyle w:val="HeadHatzaotHok"/>
        <w:rPr>
          <w:rtl/>
        </w:rPr>
      </w:pPr>
      <w:bookmarkStart w:id="7" w:name="LGS_Subject"/>
      <w:r>
        <w:rPr>
          <w:rFonts w:hint="cs"/>
          <w:rtl/>
        </w:rPr>
        <w:t xml:space="preserve">הצעת חוק העונשין (תיקון – בעילה אסורה בהסכמה ומעשה סדום במסגרת הדרכה או ייעוץ של כהן דת), התשע"ו–2015 </w:t>
      </w:r>
      <w:bookmarkEnd w:id="7"/>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7146"/>
      </w:tblGrid>
      <w:tr w:rsidR="002F1D80" w14:paraId="035EEF3D" w14:textId="77777777" w:rsidTr="00B17217">
        <w:trPr>
          <w:cantSplit/>
          <w:trHeight w:val="60"/>
        </w:trPr>
        <w:tc>
          <w:tcPr>
            <w:tcW w:w="1871" w:type="dxa"/>
          </w:tcPr>
          <w:p w14:paraId="3863FF98" w14:textId="1CA55E45" w:rsidR="002F1D80" w:rsidRDefault="000C130D" w:rsidP="000C130D">
            <w:pPr>
              <w:pStyle w:val="TableSideHeading"/>
              <w:keepLines w:val="0"/>
            </w:pPr>
            <w:r>
              <w:rPr>
                <w:rFonts w:hint="cs"/>
                <w:rtl/>
              </w:rPr>
              <w:t>תיקון</w:t>
            </w:r>
            <w:r w:rsidR="00265EA2">
              <w:rPr>
                <w:rFonts w:hint="cs"/>
                <w:rtl/>
              </w:rPr>
              <w:t xml:space="preserve"> סעיף</w:t>
            </w:r>
            <w:r>
              <w:rPr>
                <w:rFonts w:hint="cs"/>
                <w:rtl/>
              </w:rPr>
              <w:t xml:space="preserve"> 346</w:t>
            </w:r>
            <w:r w:rsidR="00265EA2">
              <w:rPr>
                <w:rFonts w:hint="cs"/>
                <w:rtl/>
              </w:rPr>
              <w:t xml:space="preserve"> </w:t>
            </w:r>
          </w:p>
        </w:tc>
        <w:tc>
          <w:tcPr>
            <w:tcW w:w="624" w:type="dxa"/>
          </w:tcPr>
          <w:p w14:paraId="6F513EF6" w14:textId="09F1C252" w:rsidR="002F1D80" w:rsidRDefault="000C130D" w:rsidP="002C3041">
            <w:pPr>
              <w:pStyle w:val="TableText"/>
              <w:keepLines w:val="0"/>
            </w:pPr>
            <w:r>
              <w:rPr>
                <w:rFonts w:hint="cs"/>
                <w:rtl/>
              </w:rPr>
              <w:t>1.</w:t>
            </w:r>
          </w:p>
        </w:tc>
        <w:tc>
          <w:tcPr>
            <w:tcW w:w="7146" w:type="dxa"/>
          </w:tcPr>
          <w:p w14:paraId="1AE94DEB" w14:textId="1D9D3609" w:rsidR="002F1D80" w:rsidRPr="00EB4F34" w:rsidRDefault="00EB3BFD" w:rsidP="00EB4F34">
            <w:pPr>
              <w:pStyle w:val="TableBlock"/>
            </w:pPr>
            <w:r>
              <w:rPr>
                <w:rFonts w:hint="cs"/>
                <w:rtl/>
              </w:rPr>
              <w:t>בחוק העונשין, התשל"ז</w:t>
            </w:r>
            <w:r w:rsidR="00EB4F34">
              <w:rPr>
                <w:rtl/>
              </w:rPr>
              <w:t>–</w:t>
            </w:r>
            <w:r>
              <w:rPr>
                <w:rFonts w:hint="cs"/>
                <w:rtl/>
              </w:rPr>
              <w:t>1977</w:t>
            </w:r>
            <w:r w:rsidR="00EB4F34">
              <w:rPr>
                <w:rStyle w:val="a5"/>
                <w:b/>
                <w:bCs/>
                <w:rtl/>
              </w:rPr>
              <w:footnoteReference w:id="2"/>
            </w:r>
            <w:r>
              <w:rPr>
                <w:rFonts w:hint="cs"/>
                <w:rtl/>
              </w:rPr>
              <w:t xml:space="preserve"> (להלן </w:t>
            </w:r>
            <w:r>
              <w:rPr>
                <w:rtl/>
              </w:rPr>
              <w:t>–</w:t>
            </w:r>
            <w:r>
              <w:rPr>
                <w:rFonts w:hint="cs"/>
                <w:rtl/>
              </w:rPr>
              <w:t xml:space="preserve"> החוק העיקרי)</w:t>
            </w:r>
            <w:r w:rsidR="00513CF4">
              <w:rPr>
                <w:rFonts w:hint="cs"/>
                <w:rtl/>
              </w:rPr>
              <w:t>,</w:t>
            </w:r>
            <w:r>
              <w:rPr>
                <w:rFonts w:hint="cs"/>
                <w:rtl/>
              </w:rPr>
              <w:t xml:space="preserve"> </w:t>
            </w:r>
            <w:r w:rsidR="00513CF4">
              <w:rPr>
                <w:rFonts w:hint="cs"/>
                <w:rtl/>
              </w:rPr>
              <w:t xml:space="preserve">בסעיף 346, </w:t>
            </w:r>
            <w:r w:rsidR="007718F7" w:rsidRPr="00EB4F34">
              <w:rPr>
                <w:rFonts w:hint="cs"/>
                <w:rtl/>
              </w:rPr>
              <w:t>אחרי</w:t>
            </w:r>
            <w:r w:rsidR="007718F7">
              <w:rPr>
                <w:rFonts w:hint="cs"/>
                <w:rtl/>
              </w:rPr>
              <w:t xml:space="preserve"> </w:t>
            </w:r>
            <w:r w:rsidR="00634659">
              <w:rPr>
                <w:rFonts w:hint="cs"/>
                <w:rtl/>
              </w:rPr>
              <w:t xml:space="preserve">סעיף </w:t>
            </w:r>
            <w:r w:rsidR="007718F7">
              <w:rPr>
                <w:rFonts w:hint="cs"/>
                <w:rtl/>
              </w:rPr>
              <w:t xml:space="preserve">קטן (ב) </w:t>
            </w:r>
            <w:r w:rsidR="00634659">
              <w:rPr>
                <w:rFonts w:hint="cs"/>
                <w:rtl/>
              </w:rPr>
              <w:t>יבוא:</w:t>
            </w:r>
          </w:p>
        </w:tc>
      </w:tr>
      <w:tr w:rsidR="00EB4F34" w14:paraId="571CF4B0" w14:textId="77777777" w:rsidTr="00B17217">
        <w:trPr>
          <w:cantSplit/>
          <w:trHeight w:val="60"/>
        </w:trPr>
        <w:tc>
          <w:tcPr>
            <w:tcW w:w="1871" w:type="dxa"/>
          </w:tcPr>
          <w:p w14:paraId="36915411" w14:textId="77777777" w:rsidR="00EB4F34" w:rsidRDefault="00EB4F34" w:rsidP="000C130D">
            <w:pPr>
              <w:pStyle w:val="TableSideHeading"/>
              <w:keepLines w:val="0"/>
              <w:rPr>
                <w:rtl/>
              </w:rPr>
            </w:pPr>
          </w:p>
        </w:tc>
        <w:tc>
          <w:tcPr>
            <w:tcW w:w="624" w:type="dxa"/>
          </w:tcPr>
          <w:p w14:paraId="0052EF0A" w14:textId="77777777" w:rsidR="00EB4F34" w:rsidRDefault="00EB4F34" w:rsidP="002C3041">
            <w:pPr>
              <w:pStyle w:val="TableText"/>
              <w:keepLines w:val="0"/>
              <w:rPr>
                <w:rtl/>
              </w:rPr>
            </w:pPr>
          </w:p>
        </w:tc>
        <w:tc>
          <w:tcPr>
            <w:tcW w:w="7146" w:type="dxa"/>
          </w:tcPr>
          <w:p w14:paraId="08A90477" w14:textId="063E894C" w:rsidR="00EB4F34" w:rsidRDefault="00EB4F34" w:rsidP="00910A38">
            <w:pPr>
              <w:pStyle w:val="TableBlock"/>
              <w:rPr>
                <w:rtl/>
              </w:rPr>
            </w:pPr>
            <w:r>
              <w:rPr>
                <w:rFonts w:hint="cs"/>
                <w:rtl/>
              </w:rPr>
              <w:t>"(ג)</w:t>
            </w:r>
            <w:r>
              <w:rPr>
                <w:rtl/>
              </w:rPr>
              <w:tab/>
            </w:r>
            <w:r>
              <w:rPr>
                <w:rFonts w:hint="cs"/>
                <w:rtl/>
              </w:rPr>
              <w:t>הבועל אישה שמלאו לה שמונה</w:t>
            </w:r>
            <w:r w:rsidR="00910A38">
              <w:rPr>
                <w:rFonts w:hint="cs"/>
                <w:rtl/>
              </w:rPr>
              <w:t>-</w:t>
            </w:r>
            <w:r>
              <w:rPr>
                <w:rFonts w:hint="cs"/>
                <w:rtl/>
              </w:rPr>
              <w:t xml:space="preserve">עשרה שנים תוך ניצול יחסי מרות או תלות, </w:t>
            </w:r>
            <w:r w:rsidRPr="00EB4F34">
              <w:rPr>
                <w:rFonts w:hint="cs"/>
                <w:rtl/>
              </w:rPr>
              <w:t>במסגרת</w:t>
            </w:r>
            <w:r>
              <w:rPr>
                <w:rFonts w:hint="cs"/>
                <w:rtl/>
              </w:rPr>
              <w:t xml:space="preserve"> הדרכה או ייעוץ של כהן דת או של מי שמתחזה להיות כהן דת או של אדם הידוע או המציג את עצמו כבעל סגולות רוחניות מיוחדות, דינו </w:t>
            </w:r>
            <w:r>
              <w:rPr>
                <w:rtl/>
              </w:rPr>
              <w:t>–</w:t>
            </w:r>
            <w:r>
              <w:rPr>
                <w:rFonts w:hint="cs"/>
                <w:rtl/>
              </w:rPr>
              <w:t xml:space="preserve"> מאסר שלוש שנים."</w:t>
            </w:r>
          </w:p>
        </w:tc>
      </w:tr>
      <w:tr w:rsidR="002F1D80" w14:paraId="3D9B61D1" w14:textId="77777777" w:rsidTr="00B17217">
        <w:trPr>
          <w:cantSplit/>
          <w:trHeight w:val="60"/>
        </w:trPr>
        <w:tc>
          <w:tcPr>
            <w:tcW w:w="1871" w:type="dxa"/>
          </w:tcPr>
          <w:p w14:paraId="6C0CB9D8" w14:textId="04D08893" w:rsidR="002F1D80" w:rsidRDefault="00EB3BFD" w:rsidP="002C3041">
            <w:pPr>
              <w:pStyle w:val="TableSideHeading"/>
              <w:keepLines w:val="0"/>
            </w:pPr>
            <w:r>
              <w:rPr>
                <w:rFonts w:hint="cs"/>
                <w:rtl/>
              </w:rPr>
              <w:lastRenderedPageBreak/>
              <w:t>תיקון סעיף 347</w:t>
            </w:r>
          </w:p>
        </w:tc>
        <w:tc>
          <w:tcPr>
            <w:tcW w:w="624" w:type="dxa"/>
          </w:tcPr>
          <w:p w14:paraId="3F4286A2" w14:textId="0AC99F01" w:rsidR="002F1D80" w:rsidRDefault="00EB3BFD" w:rsidP="002C3041">
            <w:pPr>
              <w:pStyle w:val="TableText"/>
              <w:keepLines w:val="0"/>
            </w:pPr>
            <w:r>
              <w:rPr>
                <w:rFonts w:hint="cs"/>
                <w:rtl/>
              </w:rPr>
              <w:t xml:space="preserve">2. </w:t>
            </w:r>
          </w:p>
        </w:tc>
        <w:tc>
          <w:tcPr>
            <w:tcW w:w="7146" w:type="dxa"/>
          </w:tcPr>
          <w:p w14:paraId="7633D5BB" w14:textId="26581989" w:rsidR="002F1D80" w:rsidRPr="00C34DE2" w:rsidRDefault="00EB4F34" w:rsidP="00EB4F34">
            <w:pPr>
              <w:pStyle w:val="TableBlock"/>
              <w:keepLines w:val="0"/>
            </w:pPr>
            <w:r>
              <w:rPr>
                <w:rFonts w:hint="cs"/>
                <w:rtl/>
              </w:rPr>
              <w:t xml:space="preserve">בסעיף 347 לחוק העיקרי, </w:t>
            </w:r>
            <w:r w:rsidR="007718F7">
              <w:rPr>
                <w:rFonts w:hint="cs"/>
                <w:rtl/>
              </w:rPr>
              <w:t>אחרי סעיף קטן (א1) יבוא:</w:t>
            </w:r>
          </w:p>
        </w:tc>
      </w:tr>
      <w:tr w:rsidR="00EB4F34" w14:paraId="36E2BE76" w14:textId="77777777" w:rsidTr="00B17217">
        <w:trPr>
          <w:cantSplit/>
          <w:trHeight w:val="60"/>
        </w:trPr>
        <w:tc>
          <w:tcPr>
            <w:tcW w:w="1871" w:type="dxa"/>
          </w:tcPr>
          <w:p w14:paraId="7E092277" w14:textId="77777777" w:rsidR="00EB4F34" w:rsidRDefault="00EB4F34" w:rsidP="002C3041">
            <w:pPr>
              <w:pStyle w:val="TableSideHeading"/>
              <w:keepLines w:val="0"/>
              <w:rPr>
                <w:rtl/>
              </w:rPr>
            </w:pPr>
          </w:p>
        </w:tc>
        <w:tc>
          <w:tcPr>
            <w:tcW w:w="624" w:type="dxa"/>
          </w:tcPr>
          <w:p w14:paraId="3F7C3487" w14:textId="77777777" w:rsidR="00EB4F34" w:rsidRDefault="00EB4F34" w:rsidP="00EB4F34">
            <w:pPr>
              <w:pStyle w:val="TableText"/>
              <w:rPr>
                <w:rtl/>
              </w:rPr>
            </w:pPr>
          </w:p>
        </w:tc>
        <w:tc>
          <w:tcPr>
            <w:tcW w:w="7146" w:type="dxa"/>
          </w:tcPr>
          <w:p w14:paraId="1AF7FE48" w14:textId="5A7C505A" w:rsidR="00EB4F34" w:rsidRDefault="00EB4F34" w:rsidP="00910A38">
            <w:pPr>
              <w:pStyle w:val="TableBlock"/>
              <w:keepLines w:val="0"/>
              <w:rPr>
                <w:rtl/>
              </w:rPr>
            </w:pPr>
            <w:r>
              <w:rPr>
                <w:rFonts w:hint="cs"/>
                <w:rtl/>
              </w:rPr>
              <w:t>"(א2)</w:t>
            </w:r>
            <w:r>
              <w:rPr>
                <w:rtl/>
              </w:rPr>
              <w:tab/>
            </w:r>
            <w:r>
              <w:rPr>
                <w:rFonts w:hint="cs"/>
                <w:rtl/>
              </w:rPr>
              <w:t>העושה מעשה סדום באדם שמלאו לו שמונה</w:t>
            </w:r>
            <w:r w:rsidR="00910A38">
              <w:rPr>
                <w:rFonts w:hint="cs"/>
                <w:rtl/>
              </w:rPr>
              <w:t>-</w:t>
            </w:r>
            <w:r>
              <w:rPr>
                <w:rFonts w:hint="cs"/>
                <w:rtl/>
              </w:rPr>
              <w:t xml:space="preserve">עשרה שנים תוך ניצול יחסי מרות או תלות, במסגרת הדרכה או ייעוץ של כהן דת או של מי שמתחזה להיות כהן דת או של אדם הידוע או המציג את עצמו כבעל סגולות רוחניות מיוחדות, דינו </w:t>
            </w:r>
            <w:r>
              <w:rPr>
                <w:rtl/>
              </w:rPr>
              <w:t>–</w:t>
            </w:r>
            <w:r>
              <w:rPr>
                <w:rFonts w:hint="cs"/>
                <w:rtl/>
              </w:rPr>
              <w:t xml:space="preserve"> מאסר שלוש שנים."</w:t>
            </w:r>
          </w:p>
        </w:tc>
      </w:tr>
    </w:tbl>
    <w:p w14:paraId="7F6961CA" w14:textId="77777777" w:rsidR="002D1EE3" w:rsidRDefault="002D1EE3" w:rsidP="002D1EE3">
      <w:pPr>
        <w:pStyle w:val="HeadDivreiHesber"/>
        <w:rPr>
          <w:rtl/>
        </w:rPr>
      </w:pPr>
      <w:r w:rsidRPr="0027450A">
        <w:rPr>
          <w:rFonts w:hint="cs"/>
          <w:rtl/>
        </w:rPr>
        <w:t>דברי הסבר</w:t>
      </w:r>
    </w:p>
    <w:p w14:paraId="7F6961CB" w14:textId="37888B6B" w:rsidR="00E13C27" w:rsidRPr="00EB4F34" w:rsidRDefault="009A0350" w:rsidP="00EB4F34">
      <w:pPr>
        <w:pStyle w:val="Hesber"/>
        <w:rPr>
          <w:rtl/>
        </w:rPr>
      </w:pPr>
      <w:r w:rsidRPr="00EB4F34">
        <w:rPr>
          <w:rFonts w:hint="cs"/>
          <w:rtl/>
        </w:rPr>
        <w:t xml:space="preserve">הצעת החוק מבקשת להרחיב את הגדרת העבירות "בעילה אסורה בהסכמה ו"מעשה סדום" ולהחילן גם על מקרים </w:t>
      </w:r>
      <w:r w:rsidR="007A0564" w:rsidRPr="00EB4F34">
        <w:rPr>
          <w:rFonts w:hint="cs"/>
          <w:rtl/>
        </w:rPr>
        <w:t>ש</w:t>
      </w:r>
      <w:r w:rsidRPr="00EB4F34">
        <w:rPr>
          <w:rFonts w:hint="cs"/>
          <w:rtl/>
        </w:rPr>
        <w:t xml:space="preserve">בהם התקיים ניצול יחסי מרות או תלות </w:t>
      </w:r>
      <w:r w:rsidR="00BC62F2" w:rsidRPr="00EB4F34">
        <w:rPr>
          <w:rFonts w:hint="cs"/>
          <w:rtl/>
        </w:rPr>
        <w:t>בין מנהיג רוחני ("גורו") לבין מאמיניו</w:t>
      </w:r>
      <w:r w:rsidRPr="00EB4F34">
        <w:rPr>
          <w:rFonts w:hint="cs"/>
          <w:rtl/>
        </w:rPr>
        <w:t xml:space="preserve">. </w:t>
      </w:r>
    </w:p>
    <w:p w14:paraId="4811A723" w14:textId="409D0905" w:rsidR="009A0350" w:rsidRPr="00EB4F34" w:rsidRDefault="00CF5F5C" w:rsidP="00EB4F34">
      <w:pPr>
        <w:pStyle w:val="Hesber"/>
        <w:rPr>
          <w:rtl/>
        </w:rPr>
      </w:pPr>
      <w:r w:rsidRPr="00EB4F34">
        <w:rPr>
          <w:rFonts w:hint="cs"/>
          <w:rtl/>
        </w:rPr>
        <w:t xml:space="preserve">בשנים האחרונות </w:t>
      </w:r>
      <w:r w:rsidR="00B17217" w:rsidRPr="00EB4F34">
        <w:rPr>
          <w:rFonts w:hint="cs"/>
          <w:rtl/>
        </w:rPr>
        <w:t xml:space="preserve">נודע כי </w:t>
      </w:r>
      <w:r w:rsidRPr="00EB4F34">
        <w:rPr>
          <w:rFonts w:hint="cs"/>
          <w:rtl/>
        </w:rPr>
        <w:t>נשים וגברים בישראל סובלים מאלימות במסגרת של כתות המובלות על ידי אנשים המציגים עצמם ככ</w:t>
      </w:r>
      <w:r w:rsidR="00052C3E" w:rsidRPr="00EB4F34">
        <w:rPr>
          <w:rFonts w:hint="cs"/>
          <w:rtl/>
        </w:rPr>
        <w:t>ו</w:t>
      </w:r>
      <w:r w:rsidRPr="00EB4F34">
        <w:rPr>
          <w:rFonts w:hint="cs"/>
          <w:rtl/>
        </w:rPr>
        <w:t>הני דת</w:t>
      </w:r>
      <w:r w:rsidR="007A0564" w:rsidRPr="00EB4F34">
        <w:rPr>
          <w:rFonts w:hint="cs"/>
          <w:rtl/>
        </w:rPr>
        <w:t xml:space="preserve"> או כבעלי סגולות רוחניות מיוחדות</w:t>
      </w:r>
      <w:r w:rsidRPr="00EB4F34">
        <w:rPr>
          <w:rFonts w:hint="cs"/>
          <w:rtl/>
        </w:rPr>
        <w:t xml:space="preserve">. אנשים אלו </w:t>
      </w:r>
      <w:r w:rsidR="007A0564" w:rsidRPr="00EB4F34">
        <w:rPr>
          <w:rFonts w:hint="cs"/>
          <w:rtl/>
        </w:rPr>
        <w:t xml:space="preserve">מנצלים </w:t>
      </w:r>
      <w:r w:rsidR="00F83CA7" w:rsidRPr="00EB4F34">
        <w:rPr>
          <w:rFonts w:hint="cs"/>
          <w:rtl/>
        </w:rPr>
        <w:t xml:space="preserve">לעיתים </w:t>
      </w:r>
      <w:r w:rsidRPr="00EB4F34">
        <w:rPr>
          <w:rFonts w:hint="cs"/>
          <w:rtl/>
        </w:rPr>
        <w:t xml:space="preserve">את מרותם על מנת לפגוע מינית בנשים </w:t>
      </w:r>
      <w:r w:rsidR="00F83CA7" w:rsidRPr="00EB4F34">
        <w:rPr>
          <w:rFonts w:hint="cs"/>
          <w:rtl/>
        </w:rPr>
        <w:t>ו</w:t>
      </w:r>
      <w:r w:rsidR="00EB4F34">
        <w:rPr>
          <w:rFonts w:hint="cs"/>
          <w:rtl/>
        </w:rPr>
        <w:t>ב</w:t>
      </w:r>
      <w:r w:rsidR="00F83CA7" w:rsidRPr="00EB4F34">
        <w:rPr>
          <w:rFonts w:hint="cs"/>
          <w:rtl/>
        </w:rPr>
        <w:t xml:space="preserve">גברים </w:t>
      </w:r>
      <w:r w:rsidRPr="00EB4F34">
        <w:rPr>
          <w:rFonts w:hint="cs"/>
          <w:rtl/>
        </w:rPr>
        <w:t>הנקלע</w:t>
      </w:r>
      <w:r w:rsidR="00F83CA7" w:rsidRPr="00EB4F34">
        <w:rPr>
          <w:rFonts w:hint="cs"/>
          <w:rtl/>
        </w:rPr>
        <w:t>ים</w:t>
      </w:r>
      <w:r w:rsidRPr="00EB4F34">
        <w:rPr>
          <w:rFonts w:hint="cs"/>
          <w:rtl/>
        </w:rPr>
        <w:t xml:space="preserve"> לכתות אלו. </w:t>
      </w:r>
      <w:r w:rsidR="00EB4F34">
        <w:rPr>
          <w:rFonts w:hint="cs"/>
          <w:rtl/>
        </w:rPr>
        <w:t>עד כה</w:t>
      </w:r>
      <w:r w:rsidR="00F83CA7" w:rsidRPr="00EB4F34">
        <w:rPr>
          <w:rFonts w:hint="cs"/>
          <w:rtl/>
        </w:rPr>
        <w:t xml:space="preserve"> המחוקק הישראלי לא הסדיר</w:t>
      </w:r>
      <w:r w:rsidRPr="00EB4F34">
        <w:rPr>
          <w:rFonts w:hint="cs"/>
          <w:rtl/>
        </w:rPr>
        <w:t xml:space="preserve"> את הנושא בחוק ולא הגדיר את הכלים הלגיטימיים למאבק בתופעה. </w:t>
      </w:r>
    </w:p>
    <w:p w14:paraId="10FEC5B2" w14:textId="789A59AE" w:rsidR="007D0FBC" w:rsidRPr="00EB4F34" w:rsidRDefault="007D0FBC" w:rsidP="00EB4F34">
      <w:pPr>
        <w:pStyle w:val="Hesber"/>
        <w:rPr>
          <w:rtl/>
        </w:rPr>
      </w:pPr>
      <w:r w:rsidRPr="00EB4F34">
        <w:rPr>
          <w:rFonts w:hint="cs"/>
          <w:rtl/>
        </w:rPr>
        <w:t>כחלק מהפעילות בתוך הכתות, עוברים המאמינים תהליך בו הם הופכים לנשלטים בידי המנהיגים, והם הופכים לנאמנים ומחויבים לחלוטין להנהגת הכת. הפגיעות אותן חווים המאמינים הן רחבות וכוללות פגיעות נפשיות, פגיעות פיזיות וכמובן פגיעות מיניות.</w:t>
      </w:r>
    </w:p>
    <w:p w14:paraId="167DE340" w14:textId="1DD40434" w:rsidR="00F83CA7" w:rsidRPr="00EB4F34" w:rsidRDefault="00014766" w:rsidP="00EB4F34">
      <w:pPr>
        <w:pStyle w:val="Hesber"/>
        <w:rPr>
          <w:rtl/>
        </w:rPr>
      </w:pPr>
      <w:r w:rsidRPr="00EB4F34">
        <w:rPr>
          <w:rFonts w:hint="cs"/>
          <w:rtl/>
        </w:rPr>
        <w:t>על פי נתוני המרכז הישראלי לנפגעי כתות</w:t>
      </w:r>
      <w:r w:rsidR="00F83CA7" w:rsidRPr="00EB4F34">
        <w:rPr>
          <w:rFonts w:hint="cs"/>
          <w:rtl/>
        </w:rPr>
        <w:t xml:space="preserve">, </w:t>
      </w:r>
      <w:r w:rsidR="00615979" w:rsidRPr="00EB4F34">
        <w:rPr>
          <w:rFonts w:hint="cs"/>
          <w:rtl/>
        </w:rPr>
        <w:t>כפי שדווחו לוועדה לקידום מעמד הא</w:t>
      </w:r>
      <w:r w:rsidR="00EB4F34">
        <w:rPr>
          <w:rFonts w:hint="cs"/>
          <w:rtl/>
        </w:rPr>
        <w:t>י</w:t>
      </w:r>
      <w:r w:rsidR="00615979" w:rsidRPr="00EB4F34">
        <w:rPr>
          <w:rFonts w:hint="cs"/>
          <w:rtl/>
        </w:rPr>
        <w:t>שה</w:t>
      </w:r>
      <w:r w:rsidR="00EB4F34">
        <w:rPr>
          <w:rFonts w:hint="cs"/>
          <w:rtl/>
        </w:rPr>
        <w:t xml:space="preserve"> של הכנסת</w:t>
      </w:r>
      <w:r w:rsidR="00615979" w:rsidRPr="00EB4F34">
        <w:rPr>
          <w:rFonts w:hint="cs"/>
          <w:rtl/>
        </w:rPr>
        <w:t xml:space="preserve"> בדיון בנושא בתאריך </w:t>
      </w:r>
      <w:r w:rsidR="00EB4F34">
        <w:rPr>
          <w:rFonts w:hint="cs"/>
          <w:rtl/>
        </w:rPr>
        <w:t>11 ביולי 2012</w:t>
      </w:r>
      <w:r w:rsidR="00615979" w:rsidRPr="00EB4F34">
        <w:rPr>
          <w:rFonts w:hint="cs"/>
          <w:rtl/>
        </w:rPr>
        <w:t xml:space="preserve">, </w:t>
      </w:r>
      <w:r w:rsidRPr="00EB4F34">
        <w:rPr>
          <w:rFonts w:hint="cs"/>
          <w:rtl/>
        </w:rPr>
        <w:t xml:space="preserve">בישראל </w:t>
      </w:r>
      <w:r w:rsidR="00615979" w:rsidRPr="00EB4F34">
        <w:rPr>
          <w:rFonts w:hint="cs"/>
          <w:rtl/>
        </w:rPr>
        <w:t>פועלות</w:t>
      </w:r>
      <w:r w:rsidR="00F83CA7" w:rsidRPr="00EB4F34">
        <w:rPr>
          <w:rFonts w:hint="cs"/>
          <w:rtl/>
        </w:rPr>
        <w:t xml:space="preserve"> </w:t>
      </w:r>
      <w:r w:rsidRPr="00EB4F34">
        <w:rPr>
          <w:rFonts w:hint="cs"/>
          <w:rtl/>
        </w:rPr>
        <w:t xml:space="preserve">כ-80 כתות שקיים </w:t>
      </w:r>
      <w:r w:rsidR="00052C3E" w:rsidRPr="00EB4F34">
        <w:rPr>
          <w:rFonts w:hint="cs"/>
          <w:rtl/>
        </w:rPr>
        <w:t>לגביהן</w:t>
      </w:r>
      <w:r w:rsidRPr="00EB4F34">
        <w:rPr>
          <w:rFonts w:hint="cs"/>
          <w:rtl/>
        </w:rPr>
        <w:t xml:space="preserve"> מידע קונקרטי </w:t>
      </w:r>
      <w:r w:rsidR="00667388" w:rsidRPr="00EB4F34">
        <w:rPr>
          <w:rFonts w:hint="cs"/>
          <w:rtl/>
        </w:rPr>
        <w:t>כי הן כתות הרסניות</w:t>
      </w:r>
      <w:r w:rsidRPr="00EB4F34">
        <w:rPr>
          <w:rFonts w:hint="cs"/>
          <w:rtl/>
        </w:rPr>
        <w:t xml:space="preserve">. </w:t>
      </w:r>
      <w:r w:rsidR="00EB4F34">
        <w:rPr>
          <w:rFonts w:hint="cs"/>
          <w:rtl/>
        </w:rPr>
        <w:t>בכתות אלו</w:t>
      </w:r>
      <w:r w:rsidR="00996B8C" w:rsidRPr="00EB4F34">
        <w:rPr>
          <w:rFonts w:hint="cs"/>
          <w:rtl/>
        </w:rPr>
        <w:t xml:space="preserve"> המנהיג הרוחני שולט במאמינים, דואג לרווחתו האישית ומשתמש בשיטות פסיכולוגיות </w:t>
      </w:r>
      <w:r w:rsidR="00667388" w:rsidRPr="00EB4F34">
        <w:rPr>
          <w:rFonts w:hint="cs"/>
          <w:rtl/>
        </w:rPr>
        <w:t>ה</w:t>
      </w:r>
      <w:r w:rsidR="00996B8C" w:rsidRPr="00EB4F34">
        <w:rPr>
          <w:rFonts w:hint="cs"/>
          <w:rtl/>
        </w:rPr>
        <w:t>גורמות לניצול ושעבוד המאמינים אליו או לקבו</w:t>
      </w:r>
      <w:r w:rsidR="00EB4F34">
        <w:rPr>
          <w:rFonts w:hint="cs"/>
          <w:rtl/>
        </w:rPr>
        <w:t>צה. לעיתים</w:t>
      </w:r>
      <w:r w:rsidR="00996B8C" w:rsidRPr="00EB4F34">
        <w:rPr>
          <w:rFonts w:hint="cs"/>
          <w:rtl/>
        </w:rPr>
        <w:t xml:space="preserve"> מנצל המנהיג הרוחני את חברי הקבוצה גם מינית. </w:t>
      </w:r>
    </w:p>
    <w:p w14:paraId="5035E246" w14:textId="16C165BC" w:rsidR="00CF5F5C" w:rsidRPr="00EB4F34" w:rsidRDefault="00F83CA7" w:rsidP="00EB4F34">
      <w:pPr>
        <w:pStyle w:val="Hesber"/>
        <w:rPr>
          <w:rtl/>
        </w:rPr>
      </w:pPr>
      <w:r w:rsidRPr="00EB4F34">
        <w:rPr>
          <w:rFonts w:hint="cs"/>
          <w:rtl/>
        </w:rPr>
        <w:t>בשנים האחרונות הכיר המחוקק כי קיימת תמונה מורכבת יותר לעניין ה"הסכמה" בפגיעות מיניות</w:t>
      </w:r>
      <w:r w:rsidR="00667388" w:rsidRPr="00EB4F34">
        <w:rPr>
          <w:rFonts w:hint="cs"/>
          <w:rtl/>
        </w:rPr>
        <w:t xml:space="preserve">. ראוי כי המחוקק יסדיר סעיף מיוחד הנוגע לייחודיות המצבים בהם מאמינים מנוצלים מינית בהיותם כפופים למנהיג רוחני השולט בהם פסיכולוגית. </w:t>
      </w:r>
    </w:p>
    <w:p w14:paraId="7DC557AC" w14:textId="5067C7AF" w:rsidR="00797AD1" w:rsidRPr="00EB4F34" w:rsidRDefault="00EB4F34" w:rsidP="00EB4F34">
      <w:pPr>
        <w:pStyle w:val="Hesber"/>
        <w:rPr>
          <w:rtl/>
        </w:rPr>
      </w:pPr>
      <w:r>
        <w:rPr>
          <w:rFonts w:hint="cs"/>
          <w:rtl/>
        </w:rPr>
        <w:t>כיום</w:t>
      </w:r>
      <w:r w:rsidR="00797AD1" w:rsidRPr="00EB4F34">
        <w:rPr>
          <w:rFonts w:hint="cs"/>
          <w:rtl/>
        </w:rPr>
        <w:t xml:space="preserve"> </w:t>
      </w:r>
      <w:r w:rsidR="00615979" w:rsidRPr="00EB4F34">
        <w:rPr>
          <w:rFonts w:hint="cs"/>
          <w:rtl/>
        </w:rPr>
        <w:t>מדינת</w:t>
      </w:r>
      <w:r w:rsidR="00797AD1" w:rsidRPr="00EB4F34">
        <w:rPr>
          <w:rFonts w:hint="cs"/>
          <w:rtl/>
        </w:rPr>
        <w:t xml:space="preserve"> ישראל מתקשה להעמיד לדין מנהיגי כתות על הניצול והפגיעה המינית בקורבנות משום שאין </w:t>
      </w:r>
      <w:r w:rsidR="00BC62F2" w:rsidRPr="00EB4F34">
        <w:rPr>
          <w:rFonts w:hint="cs"/>
          <w:rtl/>
        </w:rPr>
        <w:t>חקיקה</w:t>
      </w:r>
      <w:r w:rsidR="00797AD1" w:rsidRPr="00EB4F34">
        <w:rPr>
          <w:rFonts w:hint="cs"/>
          <w:rtl/>
        </w:rPr>
        <w:t xml:space="preserve"> ספציפית </w:t>
      </w:r>
      <w:r w:rsidR="00BC62F2" w:rsidRPr="00EB4F34">
        <w:rPr>
          <w:rFonts w:hint="cs"/>
          <w:rtl/>
        </w:rPr>
        <w:t>המסדירה</w:t>
      </w:r>
      <w:r>
        <w:rPr>
          <w:rFonts w:hint="cs"/>
          <w:rtl/>
        </w:rPr>
        <w:t xml:space="preserve"> את הנושא. במקרים רבים</w:t>
      </w:r>
      <w:r w:rsidR="00797AD1" w:rsidRPr="00EB4F34">
        <w:rPr>
          <w:rFonts w:hint="cs"/>
          <w:rtl/>
        </w:rPr>
        <w:t xml:space="preserve"> התיקים הפליליים נגד מנהיגי כתות נסגרים בשל היעדר עבירה פלילית המתאימה למקרי הניצול. </w:t>
      </w:r>
    </w:p>
    <w:p w14:paraId="742DAAB0" w14:textId="30149E3D" w:rsidR="007D0FBC" w:rsidRPr="00EB4F34" w:rsidRDefault="00DA02C5" w:rsidP="00EB4F34">
      <w:pPr>
        <w:pStyle w:val="Hesber"/>
        <w:rPr>
          <w:rtl/>
        </w:rPr>
      </w:pPr>
      <w:r w:rsidRPr="00EB4F34">
        <w:rPr>
          <w:rFonts w:hint="cs"/>
          <w:rtl/>
        </w:rPr>
        <w:t xml:space="preserve">הצעת החוק היא צעד ראשון בגיבוש מדיניות כוללת במיגור תופעת הניצול בכתות הרסניות. </w:t>
      </w:r>
    </w:p>
    <w:p w14:paraId="0FBDAB37" w14:textId="20C25098" w:rsidR="007D0FBC" w:rsidRDefault="00045DEA" w:rsidP="00910A38">
      <w:pPr>
        <w:pStyle w:val="Hesber"/>
        <w:rPr>
          <w:rtl/>
        </w:rPr>
      </w:pPr>
      <w:r w:rsidRPr="00EB4F34">
        <w:rPr>
          <w:rFonts w:hint="cs"/>
          <w:rtl/>
        </w:rPr>
        <w:t xml:space="preserve">הצעת החוק </w:t>
      </w:r>
      <w:r w:rsidR="00513CF4">
        <w:rPr>
          <w:rFonts w:hint="cs"/>
          <w:rtl/>
        </w:rPr>
        <w:t>הוכנ</w:t>
      </w:r>
      <w:r w:rsidR="00910A38">
        <w:rPr>
          <w:rFonts w:hint="cs"/>
          <w:rtl/>
        </w:rPr>
        <w:t xml:space="preserve">ה </w:t>
      </w:r>
      <w:r w:rsidRPr="00EB4F34">
        <w:rPr>
          <w:rFonts w:hint="cs"/>
          <w:rtl/>
        </w:rPr>
        <w:t>בשיתוף פעולה עם איגוד מרכזי הסיוע לנפגעי ונפגעות תקיפה מינית.</w:t>
      </w:r>
    </w:p>
    <w:p w14:paraId="1D8F627E" w14:textId="77777777" w:rsidR="00513CF4" w:rsidRDefault="00513CF4" w:rsidP="00910A38">
      <w:pPr>
        <w:pStyle w:val="Hesber"/>
        <w:rPr>
          <w:rtl/>
        </w:rPr>
      </w:pPr>
      <w:bookmarkStart w:id="8" w:name="_GoBack"/>
      <w:bookmarkEnd w:id="8"/>
    </w:p>
    <w:p w14:paraId="5F7763A2" w14:textId="77777777" w:rsidR="00910A38" w:rsidRDefault="00910A38" w:rsidP="00910A38">
      <w:pPr>
        <w:pStyle w:val="Hesber"/>
        <w:rPr>
          <w:rtl/>
        </w:rPr>
      </w:pPr>
    </w:p>
    <w:p w14:paraId="326C05A1" w14:textId="77777777" w:rsidR="00910A38" w:rsidRPr="00557D2C" w:rsidRDefault="00910A38" w:rsidP="008D1E08">
      <w:pPr>
        <w:pStyle w:val="Hesber"/>
        <w:rPr>
          <w:rtl/>
        </w:rPr>
      </w:pPr>
      <w:r w:rsidRPr="00557D2C">
        <w:rPr>
          <w:rtl/>
        </w:rPr>
        <w:t>---------------------------------</w:t>
      </w:r>
    </w:p>
    <w:p w14:paraId="7520BD17" w14:textId="77777777" w:rsidR="00910A38" w:rsidRPr="00557D2C" w:rsidRDefault="00910A38" w:rsidP="008D1E08">
      <w:pPr>
        <w:pStyle w:val="Hesber"/>
        <w:rPr>
          <w:rtl/>
        </w:rPr>
      </w:pPr>
      <w:r w:rsidRPr="00557D2C">
        <w:rPr>
          <w:rtl/>
        </w:rPr>
        <w:t>הוגשה ליו"ר הכנסת והסגנים</w:t>
      </w:r>
    </w:p>
    <w:p w14:paraId="0402FFC3" w14:textId="77777777" w:rsidR="00910A38" w:rsidRPr="00557D2C" w:rsidRDefault="00910A38" w:rsidP="008D1E08">
      <w:pPr>
        <w:pStyle w:val="Hesber"/>
        <w:rPr>
          <w:rtl/>
        </w:rPr>
      </w:pPr>
      <w:r w:rsidRPr="00557D2C">
        <w:rPr>
          <w:rtl/>
        </w:rPr>
        <w:t>והונחה על שולחן הכנסת ביום</w:t>
      </w:r>
    </w:p>
    <w:p w14:paraId="6CB15F6F" w14:textId="52434DB7" w:rsidR="00910A38" w:rsidRPr="00EB4F34" w:rsidRDefault="00910A38" w:rsidP="00910A38">
      <w:pPr>
        <w:pStyle w:val="Hesber"/>
        <w:rPr>
          <w:rtl/>
        </w:rPr>
      </w:pPr>
      <w:r>
        <w:rPr>
          <w:rFonts w:hint="cs"/>
          <w:rtl/>
        </w:rPr>
        <w:t>כ"ט</w:t>
      </w:r>
      <w:r w:rsidRPr="00557D2C">
        <w:rPr>
          <w:rFonts w:hint="cs"/>
          <w:rtl/>
        </w:rPr>
        <w:t xml:space="preserve"> </w:t>
      </w:r>
      <w:r>
        <w:rPr>
          <w:rFonts w:hint="cs"/>
          <w:rtl/>
        </w:rPr>
        <w:t xml:space="preserve">בתשרי </w:t>
      </w:r>
      <w:r w:rsidRPr="00557D2C">
        <w:rPr>
          <w:rFonts w:hint="cs"/>
          <w:rtl/>
        </w:rPr>
        <w:t>התשע"</w:t>
      </w:r>
      <w:r>
        <w:rPr>
          <w:rFonts w:hint="cs"/>
          <w:rtl/>
        </w:rPr>
        <w:t>ו</w:t>
      </w:r>
      <w:r w:rsidRPr="00557D2C">
        <w:rPr>
          <w:rFonts w:hint="cs"/>
          <w:rtl/>
        </w:rPr>
        <w:t xml:space="preserve"> </w:t>
      </w:r>
      <w:r w:rsidRPr="00557D2C">
        <w:rPr>
          <w:rtl/>
        </w:rPr>
        <w:t>–</w:t>
      </w:r>
      <w:r>
        <w:rPr>
          <w:rFonts w:hint="cs"/>
          <w:rtl/>
        </w:rPr>
        <w:t xml:space="preserve"> 12.10.15</w:t>
      </w:r>
    </w:p>
    <w:sectPr w:rsidR="00910A38" w:rsidRPr="00EB4F34" w:rsidSect="001207F8">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88A69" w14:textId="77777777" w:rsidR="00A942C1" w:rsidRDefault="00A942C1">
      <w:r>
        <w:separator/>
      </w:r>
    </w:p>
  </w:endnote>
  <w:endnote w:type="continuationSeparator" w:id="0">
    <w:p w14:paraId="318F26FB" w14:textId="77777777" w:rsidR="00A942C1" w:rsidRDefault="00A942C1">
      <w:r>
        <w:continuationSeparator/>
      </w:r>
    </w:p>
  </w:endnote>
  <w:endnote w:type="continuationNotice" w:id="1">
    <w:p w14:paraId="6BE48FD5" w14:textId="77777777" w:rsidR="00A942C1" w:rsidRDefault="00A942C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0000000000000000000"/>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end"/>
    </w:r>
  </w:p>
  <w:p w14:paraId="7F6961D6" w14:textId="77777777" w:rsidR="002C3041" w:rsidRDefault="002C304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separate"/>
    </w:r>
    <w:r w:rsidR="00513CF4">
      <w:rPr>
        <w:rStyle w:val="aa"/>
        <w:noProof/>
        <w:rtl/>
      </w:rPr>
      <w:t>2</w:t>
    </w:r>
    <w:r>
      <w:rPr>
        <w:rStyle w:val="aa"/>
        <w:rtl/>
      </w:rPr>
      <w:fldChar w:fldCharType="end"/>
    </w:r>
  </w:p>
  <w:p w14:paraId="7F6961D8" w14:textId="77777777" w:rsidR="002C3041" w:rsidRDefault="002C304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7B9F2" w14:textId="77777777" w:rsidR="00A942C1" w:rsidRDefault="00A942C1">
      <w:r>
        <w:separator/>
      </w:r>
    </w:p>
  </w:footnote>
  <w:footnote w:type="continuationSeparator" w:id="0">
    <w:p w14:paraId="3DB92342" w14:textId="77777777" w:rsidR="00A942C1" w:rsidRDefault="00A942C1">
      <w:r>
        <w:continuationSeparator/>
      </w:r>
    </w:p>
  </w:footnote>
  <w:footnote w:type="continuationNotice" w:id="1">
    <w:p w14:paraId="16009878" w14:textId="77777777" w:rsidR="00A942C1" w:rsidRDefault="00A942C1"/>
  </w:footnote>
  <w:footnote w:id="2">
    <w:p w14:paraId="074BD64F" w14:textId="3096D647" w:rsidR="00EB4F34" w:rsidRDefault="00EB4F34">
      <w:pPr>
        <w:pStyle w:val="a4"/>
        <w:rPr>
          <w:rtl/>
        </w:rPr>
      </w:pPr>
      <w:r>
        <w:rPr>
          <w:rStyle w:val="a5"/>
        </w:rPr>
        <w:footnoteRef/>
      </w:r>
      <w:r>
        <w:rPr>
          <w:rtl/>
        </w:rPr>
        <w:t xml:space="preserve"> </w:t>
      </w:r>
      <w:r>
        <w:rPr>
          <w:rFonts w:hint="cs"/>
          <w:rtl/>
        </w:rPr>
        <w:t>ס"ח התשל"ז, עמ' 226.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4766"/>
    <w:rsid w:val="00015B27"/>
    <w:rsid w:val="00045DEA"/>
    <w:rsid w:val="00052C3E"/>
    <w:rsid w:val="00063A3E"/>
    <w:rsid w:val="00072CAC"/>
    <w:rsid w:val="0007681A"/>
    <w:rsid w:val="000A542E"/>
    <w:rsid w:val="000C130D"/>
    <w:rsid w:val="00102B6B"/>
    <w:rsid w:val="001052D4"/>
    <w:rsid w:val="0010644B"/>
    <w:rsid w:val="001207F8"/>
    <w:rsid w:val="00121924"/>
    <w:rsid w:val="001279A8"/>
    <w:rsid w:val="0014195F"/>
    <w:rsid w:val="00152609"/>
    <w:rsid w:val="00153E1B"/>
    <w:rsid w:val="001A0623"/>
    <w:rsid w:val="001C23B0"/>
    <w:rsid w:val="001D7AAF"/>
    <w:rsid w:val="00203A7F"/>
    <w:rsid w:val="0021633A"/>
    <w:rsid w:val="002200A1"/>
    <w:rsid w:val="002362BF"/>
    <w:rsid w:val="00241B97"/>
    <w:rsid w:val="002425D1"/>
    <w:rsid w:val="00246756"/>
    <w:rsid w:val="00251E58"/>
    <w:rsid w:val="00254605"/>
    <w:rsid w:val="00265EA2"/>
    <w:rsid w:val="00266D86"/>
    <w:rsid w:val="002728B4"/>
    <w:rsid w:val="0027600C"/>
    <w:rsid w:val="00292712"/>
    <w:rsid w:val="002A487D"/>
    <w:rsid w:val="002C2E29"/>
    <w:rsid w:val="002C3041"/>
    <w:rsid w:val="002D1EE3"/>
    <w:rsid w:val="002F1D80"/>
    <w:rsid w:val="003232A2"/>
    <w:rsid w:val="00325C14"/>
    <w:rsid w:val="0036422C"/>
    <w:rsid w:val="003710F6"/>
    <w:rsid w:val="00386E88"/>
    <w:rsid w:val="00396585"/>
    <w:rsid w:val="003D6E38"/>
    <w:rsid w:val="003D74A0"/>
    <w:rsid w:val="004033D8"/>
    <w:rsid w:val="004073F0"/>
    <w:rsid w:val="00412A7D"/>
    <w:rsid w:val="00416B4D"/>
    <w:rsid w:val="00417CFC"/>
    <w:rsid w:val="004A06DC"/>
    <w:rsid w:val="004B24ED"/>
    <w:rsid w:val="004B6625"/>
    <w:rsid w:val="004D2D82"/>
    <w:rsid w:val="004D3876"/>
    <w:rsid w:val="004E4552"/>
    <w:rsid w:val="004E6CDF"/>
    <w:rsid w:val="00513CF4"/>
    <w:rsid w:val="00553C9D"/>
    <w:rsid w:val="00562A66"/>
    <w:rsid w:val="005B064E"/>
    <w:rsid w:val="005D51AE"/>
    <w:rsid w:val="00615979"/>
    <w:rsid w:val="0062674B"/>
    <w:rsid w:val="00634659"/>
    <w:rsid w:val="006363B2"/>
    <w:rsid w:val="00644940"/>
    <w:rsid w:val="00667388"/>
    <w:rsid w:val="006818A9"/>
    <w:rsid w:val="006A2D81"/>
    <w:rsid w:val="006C1D0D"/>
    <w:rsid w:val="0070601E"/>
    <w:rsid w:val="00712C72"/>
    <w:rsid w:val="00735FE9"/>
    <w:rsid w:val="00763CAA"/>
    <w:rsid w:val="00765F66"/>
    <w:rsid w:val="007718F7"/>
    <w:rsid w:val="0078664F"/>
    <w:rsid w:val="00797AD1"/>
    <w:rsid w:val="007A0564"/>
    <w:rsid w:val="007C3FA6"/>
    <w:rsid w:val="007D0FBC"/>
    <w:rsid w:val="007D585A"/>
    <w:rsid w:val="007D5A12"/>
    <w:rsid w:val="007E59F9"/>
    <w:rsid w:val="00810BCD"/>
    <w:rsid w:val="00812C98"/>
    <w:rsid w:val="00814D92"/>
    <w:rsid w:val="0083181D"/>
    <w:rsid w:val="00843EB2"/>
    <w:rsid w:val="00865572"/>
    <w:rsid w:val="00874BBC"/>
    <w:rsid w:val="00892135"/>
    <w:rsid w:val="00895449"/>
    <w:rsid w:val="00897879"/>
    <w:rsid w:val="008A6870"/>
    <w:rsid w:val="008C2DDC"/>
    <w:rsid w:val="008C7516"/>
    <w:rsid w:val="008E6EC7"/>
    <w:rsid w:val="008F0D63"/>
    <w:rsid w:val="008F1308"/>
    <w:rsid w:val="008F2C35"/>
    <w:rsid w:val="008F6665"/>
    <w:rsid w:val="00904591"/>
    <w:rsid w:val="00905E5F"/>
    <w:rsid w:val="00910A38"/>
    <w:rsid w:val="0091204F"/>
    <w:rsid w:val="009203DB"/>
    <w:rsid w:val="00923CD4"/>
    <w:rsid w:val="00930EFE"/>
    <w:rsid w:val="00943386"/>
    <w:rsid w:val="009456B6"/>
    <w:rsid w:val="00957589"/>
    <w:rsid w:val="00966D06"/>
    <w:rsid w:val="00982412"/>
    <w:rsid w:val="00983A8D"/>
    <w:rsid w:val="00996B8C"/>
    <w:rsid w:val="009A0350"/>
    <w:rsid w:val="009A0DB8"/>
    <w:rsid w:val="009A7257"/>
    <w:rsid w:val="009D6E0A"/>
    <w:rsid w:val="009E1E33"/>
    <w:rsid w:val="00A14672"/>
    <w:rsid w:val="00A26BD6"/>
    <w:rsid w:val="00A443CF"/>
    <w:rsid w:val="00A6611D"/>
    <w:rsid w:val="00A82CB7"/>
    <w:rsid w:val="00A942C1"/>
    <w:rsid w:val="00AA2F03"/>
    <w:rsid w:val="00AC36F7"/>
    <w:rsid w:val="00AC63A4"/>
    <w:rsid w:val="00AD239E"/>
    <w:rsid w:val="00B10265"/>
    <w:rsid w:val="00B16A99"/>
    <w:rsid w:val="00B17217"/>
    <w:rsid w:val="00B21211"/>
    <w:rsid w:val="00B35784"/>
    <w:rsid w:val="00B733A7"/>
    <w:rsid w:val="00B75C91"/>
    <w:rsid w:val="00B975AD"/>
    <w:rsid w:val="00BC45FB"/>
    <w:rsid w:val="00BC62F2"/>
    <w:rsid w:val="00BF148D"/>
    <w:rsid w:val="00C23B1A"/>
    <w:rsid w:val="00C310EB"/>
    <w:rsid w:val="00C9176A"/>
    <w:rsid w:val="00CF1AA2"/>
    <w:rsid w:val="00CF5F5C"/>
    <w:rsid w:val="00D17774"/>
    <w:rsid w:val="00D63620"/>
    <w:rsid w:val="00D8410D"/>
    <w:rsid w:val="00D867D7"/>
    <w:rsid w:val="00DA02C5"/>
    <w:rsid w:val="00DB7060"/>
    <w:rsid w:val="00DE3153"/>
    <w:rsid w:val="00E06736"/>
    <w:rsid w:val="00E13C27"/>
    <w:rsid w:val="00E33BBD"/>
    <w:rsid w:val="00E374F2"/>
    <w:rsid w:val="00E45103"/>
    <w:rsid w:val="00E55A60"/>
    <w:rsid w:val="00E62778"/>
    <w:rsid w:val="00E63D38"/>
    <w:rsid w:val="00E665B9"/>
    <w:rsid w:val="00EA01E6"/>
    <w:rsid w:val="00EA3DE8"/>
    <w:rsid w:val="00EA758F"/>
    <w:rsid w:val="00EB3BFD"/>
    <w:rsid w:val="00EB4F34"/>
    <w:rsid w:val="00ED4A6F"/>
    <w:rsid w:val="00EF3A3A"/>
    <w:rsid w:val="00F628D6"/>
    <w:rsid w:val="00F67051"/>
    <w:rsid w:val="00F83CA7"/>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E750DD43-5F46-4AE4-A90D-9B26A5A30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autoRedefine/>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5">
    <w:name w:val="footnote reference"/>
    <w:basedOn w:val="a0"/>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6">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7">
    <w:name w:val="header"/>
    <w:basedOn w:val="a"/>
    <w:rsid w:val="00B975AD"/>
    <w:pPr>
      <w:tabs>
        <w:tab w:val="center" w:pos="4153"/>
        <w:tab w:val="right" w:pos="8306"/>
      </w:tabs>
    </w:pPr>
  </w:style>
  <w:style w:type="paragraph" w:styleId="a8">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9">
    <w:name w:val="Title"/>
    <w:basedOn w:val="a"/>
    <w:qFormat/>
    <w:rsid w:val="00943386"/>
    <w:pPr>
      <w:jc w:val="center"/>
    </w:pPr>
    <w:rPr>
      <w:rFonts w:cs="David"/>
      <w:b/>
      <w:bCs/>
      <w:sz w:val="28"/>
      <w:szCs w:val="28"/>
      <w:u w:val="single"/>
    </w:rPr>
  </w:style>
  <w:style w:type="character" w:styleId="aa">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b">
    <w:name w:val="Balloon Text"/>
    <w:basedOn w:val="a"/>
    <w:link w:val="ac"/>
    <w:semiHidden/>
    <w:unhideWhenUsed/>
    <w:rsid w:val="00325C14"/>
    <w:pPr>
      <w:spacing w:before="0" w:line="240" w:lineRule="auto"/>
    </w:pPr>
    <w:rPr>
      <w:rFonts w:ascii="Tahoma" w:hAnsi="Tahoma" w:cs="Tahoma"/>
      <w:sz w:val="16"/>
      <w:szCs w:val="16"/>
    </w:rPr>
  </w:style>
  <w:style w:type="character" w:customStyle="1" w:styleId="ac">
    <w:name w:val="טקסט בלונים תו"/>
    <w:basedOn w:val="a0"/>
    <w:link w:val="ab"/>
    <w:semiHidden/>
    <w:rsid w:val="00325C14"/>
    <w:rPr>
      <w:rFonts w:ascii="Tahoma" w:hAnsi="Tahoma" w:cs="Tahoma"/>
      <w:color w:val="000000"/>
      <w:spacing w:val="1"/>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86EB84DF20CE4D8D9D1A5C7A92FD24" ma:contentTypeVersion="0" ma:contentTypeDescription="Create a new document." ma:contentTypeScope="" ma:versionID="99fd2faca98684dfaf8c37f6393491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4AFE3-9455-419C-8851-785A55F44517}">
  <ds:schemaRefs>
    <ds:schemaRef ds:uri="http://schemas.openxmlformats.org/package/2006/metadata/core-properties"/>
    <ds:schemaRef ds:uri="http://purl.org/dc/terms/"/>
    <ds:schemaRef ds:uri="http://purl.org/dc/elements/1.1/"/>
    <ds:schemaRef ds:uri="http://www.w3.org/XML/1998/namespace"/>
    <ds:schemaRef ds:uri="http://schemas.microsoft.com/office/2006/documentManagement/types"/>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D5935A37-B5E3-4D26-8225-0637AF108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4.xml><?xml version="1.0" encoding="utf-8"?>
<ds:datastoreItem xmlns:ds="http://schemas.openxmlformats.org/officeDocument/2006/customXml" ds:itemID="{74BE8898-0577-4B3E-8970-C8144691C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507</Words>
  <Characters>2535</Characters>
  <Application>Microsoft Office Word</Application>
  <DocSecurity>0</DocSecurity>
  <Lines>21</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תהל טהר לב</cp:lastModifiedBy>
  <cp:revision>9</cp:revision>
  <cp:lastPrinted>2015-05-20T16:16:00Z</cp:lastPrinted>
  <dcterms:created xsi:type="dcterms:W3CDTF">2015-04-20T09:58:00Z</dcterms:created>
  <dcterms:modified xsi:type="dcterms:W3CDTF">2015-10-06T09:03:00Z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0x0101008386EB84DF20CE4D8D9D1A5C7A92FD24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564711</vt:r8>
  </property>
</Properties>
</file>