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ה' בחשוון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18 באוקטובר,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1187</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אי התקנת תקנות חובת המכרזים לתאגידים עירוניים עליהם חל חוק חובת המכרזים</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כ-680 תאגידים עירוניים פועלים בישראל בתחומי פעולה רבים ומגוונים כמו כלכלה, תשתיות, משק, פיתוח, תרבות ותאגידי מים.</w:t>
      </w:r>
      <w:r>
        <w:br/>
      </w:r>
      <w:r>
        <w:rPr>
          <w:rFonts w:ascii="Tahoma" w:hAnsi="Tahoma" w:cs="David" w:hint="cs"/>
          <w:sz w:val="24"/>
          <w:szCs w:val="24"/>
          <w:rtl/>
        </w:rPr>
        <w:t xml:space="preserve">על-פי תיקון 14 לחוק חובת המכרזים, התשנ"ב-1992, שתוקן בשנת 2003, צורפו גם התאגידים העירוניים לרשימת הגופים עליהם חלה חובת המכרזים. </w:t>
      </w:r>
      <w:r>
        <w:br/>
      </w:r>
      <w:r>
        <w:rPr>
          <w:rFonts w:ascii="Tahoma" w:hAnsi="Tahoma" w:cs="David" w:hint="cs"/>
          <w:sz w:val="24"/>
          <w:szCs w:val="24"/>
          <w:rtl/>
        </w:rPr>
        <w:t xml:space="preserve">החלת החוק על התאגידים הותנתה בהתקנת תקנות בעניין זה. </w:t>
      </w:r>
      <w:r>
        <w:br/>
      </w:r>
      <w:r>
        <w:rPr>
          <w:rFonts w:ascii="Tahoma" w:hAnsi="Tahoma" w:cs="David" w:hint="cs"/>
          <w:sz w:val="24"/>
          <w:szCs w:val="24"/>
          <w:rtl/>
        </w:rPr>
        <w:t xml:space="preserve">עם זאת, עד היום לא הותקנו תקנות אלו. בשל כך, קיימת אי בהירות בכל הנוגע לתאגידים עירוניים ובפועל כל תאגיד פועל באופן שונה וקובע תנאי סף שונים ולא אחידים- חלקם פועלים בכפיפות לחוק פקודת העיריות וחלקם לחוק חובת המכרזים. </w:t>
      </w:r>
      <w:r>
        <w:br/>
      </w:r>
      <w:r>
        <w:rPr>
          <w:rFonts w:ascii="Tahoma" w:hAnsi="Tahoma" w:cs="David" w:hint="cs"/>
          <w:sz w:val="24"/>
          <w:szCs w:val="24"/>
          <w:rtl/>
        </w:rPr>
        <w:t>בנוסף לכך, תיקון 19 לחוק חובת המכרזים אשר נועד לתת מענה לעסקים קטנים ובינוניים על מנת שאלו יעמדו בתנאי הסף של המכרז איננו חל על תאגידים עירוניים בשל אי התקנת התקנות דבר המהווה פגיעה משמעותית בעסקים קטנים ובינוניים.</w:t>
      </w:r>
      <w:r>
        <w:br/>
      </w:r>
      <w:r>
        <w:rPr>
          <w:rFonts w:ascii="Tahoma" w:hAnsi="Tahoma" w:cs="David" w:hint="cs"/>
          <w:sz w:val="24"/>
          <w:szCs w:val="24"/>
          <w:rtl/>
        </w:rPr>
        <w:t xml:space="preserve">לאור זאת , נבקש לקיים דיון דחוף בנושא בועדת הפנים. </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מיקי לוי</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151D57"/>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812735BC-C7AD-4BB0-B715-27748643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897</Characters>
  <Application>Microsoft Office Word</Application>
  <DocSecurity>4</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עידן פז</cp:lastModifiedBy>
  <cp:revision>2</cp:revision>
  <cp:lastPrinted>2015-10-26T08:06:00Z</cp:lastPrinted>
  <dcterms:created xsi:type="dcterms:W3CDTF">2015-10-26T08:06:00Z</dcterms:created>
  <dcterms:modified xsi:type="dcterms:W3CDTF">2015-10-26T08:06:00Z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569839</vt:r8>
  </property>
</Properties>
</file>