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A70F3" w14:textId="77777777" w:rsidR="000F55FB" w:rsidRPr="00A00C43" w:rsidRDefault="000F55FB" w:rsidP="000F55FB">
      <w:pPr>
        <w:rPr>
          <w:rFonts w:cs="David"/>
          <w:b/>
          <w:bCs/>
          <w:sz w:val="26"/>
          <w:szCs w:val="26"/>
          <w:u w:val="single"/>
          <w:rtl/>
        </w:rPr>
      </w:pPr>
      <w:bookmarkStart w:id="0" w:name="_GoBack"/>
      <w:bookmarkEnd w:id="0"/>
      <w:r w:rsidRPr="00A00C43">
        <w:rPr>
          <w:rFonts w:cs="David" w:hint="cs"/>
          <w:b/>
          <w:bCs/>
          <w:sz w:val="26"/>
          <w:szCs w:val="26"/>
          <w:u w:val="single"/>
          <w:rtl/>
        </w:rPr>
        <w:t>הצעה מטעם הייעוץ המשפטי של הוועדה</w:t>
      </w:r>
    </w:p>
    <w:p w14:paraId="084BDCBE" w14:textId="77777777" w:rsidR="000F55FB" w:rsidRDefault="000F55FB" w:rsidP="00FB5426">
      <w:pPr>
        <w:spacing w:line="360" w:lineRule="auto"/>
        <w:jc w:val="both"/>
        <w:rPr>
          <w:rFonts w:cs="David"/>
          <w:sz w:val="24"/>
          <w:szCs w:val="24"/>
          <w:rtl/>
        </w:rPr>
      </w:pPr>
    </w:p>
    <w:p w14:paraId="61601CEB" w14:textId="77777777" w:rsidR="002400CD" w:rsidRDefault="002400CD" w:rsidP="00FB5426">
      <w:pPr>
        <w:spacing w:line="360" w:lineRule="auto"/>
        <w:jc w:val="both"/>
        <w:rPr>
          <w:rFonts w:cs="David"/>
          <w:sz w:val="24"/>
          <w:szCs w:val="24"/>
          <w:rtl/>
        </w:rPr>
      </w:pPr>
      <w:r w:rsidRPr="000C1AD7">
        <w:rPr>
          <w:rFonts w:cs="David" w:hint="cs"/>
          <w:sz w:val="24"/>
          <w:szCs w:val="24"/>
          <w:rtl/>
        </w:rPr>
        <w:t xml:space="preserve">הנחיית יועץ/פ"מ </w:t>
      </w:r>
      <w:r w:rsidRPr="000C1AD7">
        <w:rPr>
          <w:rFonts w:cs="David"/>
          <w:sz w:val="24"/>
          <w:szCs w:val="24"/>
          <w:rtl/>
        </w:rPr>
        <w:t>–</w:t>
      </w:r>
      <w:r w:rsidRPr="000C1AD7">
        <w:rPr>
          <w:rFonts w:cs="David" w:hint="cs"/>
          <w:sz w:val="24"/>
          <w:szCs w:val="24"/>
          <w:rtl/>
        </w:rPr>
        <w:t xml:space="preserve"> מדיניות האכיפה בעבירות של הלבנת הון</w:t>
      </w:r>
      <w:r w:rsidR="00771CC1">
        <w:rPr>
          <w:rFonts w:cs="David" w:hint="cs"/>
          <w:sz w:val="24"/>
          <w:szCs w:val="24"/>
          <w:rtl/>
        </w:rPr>
        <w:t xml:space="preserve"> </w:t>
      </w:r>
      <w:r w:rsidR="00F94684">
        <w:rPr>
          <w:rFonts w:cs="David" w:hint="cs"/>
          <w:sz w:val="24"/>
          <w:szCs w:val="24"/>
          <w:rtl/>
        </w:rPr>
        <w:t xml:space="preserve"> </w:t>
      </w:r>
    </w:p>
    <w:p w14:paraId="3F42508B" w14:textId="77777777" w:rsidR="002400CD" w:rsidRPr="00D02DAB" w:rsidRDefault="00871EF1" w:rsidP="001208EB">
      <w:pPr>
        <w:spacing w:after="160" w:line="360" w:lineRule="auto"/>
        <w:jc w:val="both"/>
        <w:rPr>
          <w:rFonts w:cs="David"/>
          <w:b/>
          <w:bCs/>
          <w:sz w:val="24"/>
          <w:szCs w:val="24"/>
        </w:rPr>
      </w:pPr>
      <w:r>
        <w:rPr>
          <w:rFonts w:cs="David" w:hint="cs"/>
          <w:b/>
          <w:bCs/>
          <w:sz w:val="24"/>
          <w:szCs w:val="24"/>
          <w:rtl/>
        </w:rPr>
        <w:t xml:space="preserve">א. </w:t>
      </w:r>
      <w:r w:rsidR="001208EB">
        <w:rPr>
          <w:rFonts w:cs="David" w:hint="cs"/>
          <w:b/>
          <w:bCs/>
          <w:sz w:val="24"/>
          <w:szCs w:val="24"/>
          <w:rtl/>
        </w:rPr>
        <w:t>כללי</w:t>
      </w:r>
    </w:p>
    <w:p w14:paraId="6E18B0EC" w14:textId="77777777" w:rsidR="002400CD" w:rsidRPr="00A61A1C" w:rsidRDefault="002400CD" w:rsidP="00512960">
      <w:pPr>
        <w:keepLines/>
        <w:numPr>
          <w:ilvl w:val="0"/>
          <w:numId w:val="2"/>
        </w:numPr>
        <w:spacing w:after="160" w:line="360" w:lineRule="auto"/>
        <w:jc w:val="both"/>
        <w:rPr>
          <w:rFonts w:cs="David"/>
          <w:sz w:val="24"/>
          <w:szCs w:val="24"/>
          <w:rtl/>
        </w:rPr>
      </w:pPr>
      <w:r w:rsidRPr="00A61A1C">
        <w:rPr>
          <w:rFonts w:cs="David" w:hint="cs"/>
          <w:sz w:val="24"/>
          <w:szCs w:val="24"/>
          <w:rtl/>
        </w:rPr>
        <w:t xml:space="preserve">הנחיה זו עניינה </w:t>
      </w:r>
      <w:r w:rsidR="004E7A10">
        <w:rPr>
          <w:rFonts w:cs="David" w:hint="cs"/>
          <w:sz w:val="24"/>
          <w:szCs w:val="24"/>
          <w:rtl/>
        </w:rPr>
        <w:t xml:space="preserve">להנחות את רשויות </w:t>
      </w:r>
      <w:r w:rsidR="008555E5">
        <w:rPr>
          <w:rFonts w:cs="David" w:hint="cs"/>
          <w:sz w:val="24"/>
          <w:szCs w:val="24"/>
          <w:rtl/>
        </w:rPr>
        <w:t xml:space="preserve">התביעה </w:t>
      </w:r>
      <w:r w:rsidR="004E7A10">
        <w:rPr>
          <w:rFonts w:cs="David" w:hint="cs"/>
          <w:sz w:val="24"/>
          <w:szCs w:val="24"/>
          <w:rtl/>
        </w:rPr>
        <w:t xml:space="preserve">באשר לאופן השימוש הראוי בהוראות </w:t>
      </w:r>
      <w:r w:rsidR="009A1DAE">
        <w:rPr>
          <w:rFonts w:cs="David" w:hint="cs"/>
          <w:sz w:val="24"/>
          <w:szCs w:val="24"/>
          <w:rtl/>
        </w:rPr>
        <w:t>חוק איסור הלבנת הון, התש"ס-2000</w:t>
      </w:r>
      <w:r w:rsidR="001D5BD6">
        <w:rPr>
          <w:rFonts w:cs="David" w:hint="cs"/>
          <w:sz w:val="24"/>
          <w:szCs w:val="24"/>
          <w:rtl/>
        </w:rPr>
        <w:t xml:space="preserve"> (להלן </w:t>
      </w:r>
      <w:r w:rsidR="001D5BD6">
        <w:rPr>
          <w:rFonts w:cs="David"/>
          <w:sz w:val="24"/>
          <w:szCs w:val="24"/>
          <w:rtl/>
        </w:rPr>
        <w:t>–</w:t>
      </w:r>
      <w:r w:rsidR="001D5BD6">
        <w:rPr>
          <w:rFonts w:cs="David" w:hint="cs"/>
          <w:sz w:val="24"/>
          <w:szCs w:val="24"/>
          <w:rtl/>
        </w:rPr>
        <w:t xml:space="preserve"> החוק)</w:t>
      </w:r>
      <w:r w:rsidR="004E7A10">
        <w:rPr>
          <w:rFonts w:cs="David" w:hint="cs"/>
          <w:sz w:val="24"/>
          <w:szCs w:val="24"/>
          <w:rtl/>
        </w:rPr>
        <w:t xml:space="preserve">, </w:t>
      </w:r>
      <w:r w:rsidR="00A61A1C">
        <w:rPr>
          <w:rFonts w:cs="David" w:hint="cs"/>
          <w:sz w:val="24"/>
          <w:szCs w:val="24"/>
          <w:rtl/>
        </w:rPr>
        <w:t>ובכלל זה</w:t>
      </w:r>
      <w:r w:rsidR="004460F7">
        <w:rPr>
          <w:rFonts w:cs="David" w:hint="cs"/>
          <w:sz w:val="24"/>
          <w:szCs w:val="24"/>
          <w:rtl/>
        </w:rPr>
        <w:t>,</w:t>
      </w:r>
      <w:r w:rsidR="00A61A1C">
        <w:rPr>
          <w:rFonts w:cs="David" w:hint="cs"/>
          <w:sz w:val="24"/>
          <w:szCs w:val="24"/>
          <w:rtl/>
        </w:rPr>
        <w:t xml:space="preserve"> </w:t>
      </w:r>
      <w:r w:rsidR="00871821" w:rsidRPr="00A61A1C">
        <w:rPr>
          <w:rFonts w:cs="David" w:hint="cs"/>
          <w:sz w:val="24"/>
          <w:szCs w:val="24"/>
          <w:rtl/>
        </w:rPr>
        <w:t xml:space="preserve">להבנות את שיקול </w:t>
      </w:r>
      <w:r w:rsidR="008555E5">
        <w:rPr>
          <w:rFonts w:cs="David" w:hint="cs"/>
          <w:sz w:val="24"/>
          <w:szCs w:val="24"/>
          <w:rtl/>
        </w:rPr>
        <w:t>ה</w:t>
      </w:r>
      <w:r w:rsidR="00871821" w:rsidRPr="00A61A1C">
        <w:rPr>
          <w:rFonts w:cs="David" w:hint="cs"/>
          <w:sz w:val="24"/>
          <w:szCs w:val="24"/>
          <w:rtl/>
        </w:rPr>
        <w:t xml:space="preserve">דעת </w:t>
      </w:r>
      <w:r w:rsidR="008555E5">
        <w:rPr>
          <w:rFonts w:cs="David" w:hint="cs"/>
          <w:sz w:val="24"/>
          <w:szCs w:val="24"/>
          <w:rtl/>
        </w:rPr>
        <w:t xml:space="preserve">של </w:t>
      </w:r>
      <w:r w:rsidR="00871821" w:rsidRPr="00A61A1C">
        <w:rPr>
          <w:rFonts w:cs="David" w:hint="cs"/>
          <w:sz w:val="24"/>
          <w:szCs w:val="24"/>
          <w:rtl/>
        </w:rPr>
        <w:t>הפרקליט באשר לנסיבות בהן ראוי להוסיף אישום בעבירת הלבנת הון</w:t>
      </w:r>
      <w:r w:rsidR="00512960">
        <w:rPr>
          <w:rFonts w:cs="David" w:hint="cs"/>
          <w:sz w:val="24"/>
          <w:szCs w:val="24"/>
          <w:rtl/>
        </w:rPr>
        <w:t xml:space="preserve">; לעצב את מדיניות </w:t>
      </w:r>
      <w:r w:rsidR="00797674">
        <w:rPr>
          <w:rFonts w:cs="David" w:hint="cs"/>
          <w:sz w:val="24"/>
          <w:szCs w:val="24"/>
          <w:rtl/>
        </w:rPr>
        <w:t>הפעלת הוראות החוק בהקשר של עבירות המס המוגדרות כעבירות מקור</w:t>
      </w:r>
      <w:r w:rsidR="00512960">
        <w:rPr>
          <w:rFonts w:cs="David" w:hint="cs"/>
          <w:sz w:val="24"/>
          <w:szCs w:val="24"/>
          <w:rtl/>
        </w:rPr>
        <w:t>;</w:t>
      </w:r>
      <w:r w:rsidR="008555E5">
        <w:rPr>
          <w:rFonts w:cs="David" w:hint="cs"/>
          <w:sz w:val="24"/>
          <w:szCs w:val="24"/>
          <w:rtl/>
        </w:rPr>
        <w:t xml:space="preserve"> </w:t>
      </w:r>
      <w:r w:rsidR="00512960">
        <w:rPr>
          <w:rFonts w:cs="David" w:hint="cs"/>
          <w:sz w:val="24"/>
          <w:szCs w:val="24"/>
          <w:rtl/>
        </w:rPr>
        <w:t xml:space="preserve">ולהתוות קווים מנחים לשימוש </w:t>
      </w:r>
      <w:r w:rsidR="004E7A10">
        <w:rPr>
          <w:rFonts w:cs="David" w:hint="cs"/>
          <w:sz w:val="24"/>
          <w:szCs w:val="24"/>
          <w:rtl/>
        </w:rPr>
        <w:t>בסמכויות החילוט הקבועות בחוק</w:t>
      </w:r>
      <w:r w:rsidR="00871821" w:rsidRPr="00A61A1C">
        <w:rPr>
          <w:rFonts w:cs="David" w:hint="cs"/>
          <w:sz w:val="24"/>
          <w:szCs w:val="24"/>
          <w:rtl/>
        </w:rPr>
        <w:t>.</w:t>
      </w:r>
    </w:p>
    <w:p w14:paraId="44483210" w14:textId="77777777" w:rsidR="001D4667" w:rsidRDefault="001D4667" w:rsidP="00390375">
      <w:pPr>
        <w:spacing w:after="160" w:line="360" w:lineRule="auto"/>
        <w:jc w:val="both"/>
        <w:rPr>
          <w:rFonts w:cs="David"/>
          <w:sz w:val="24"/>
          <w:szCs w:val="24"/>
          <w:rtl/>
        </w:rPr>
      </w:pPr>
    </w:p>
    <w:p w14:paraId="20B5720C" w14:textId="1C677187" w:rsidR="002400CD" w:rsidRPr="00E31199" w:rsidRDefault="00E11511" w:rsidP="00390375">
      <w:pPr>
        <w:spacing w:after="160" w:line="360" w:lineRule="auto"/>
        <w:jc w:val="both"/>
        <w:rPr>
          <w:rFonts w:cs="David"/>
          <w:b/>
          <w:bCs/>
          <w:sz w:val="24"/>
          <w:szCs w:val="24"/>
        </w:rPr>
      </w:pPr>
      <w:r>
        <w:rPr>
          <w:rFonts w:cs="David" w:hint="cs"/>
          <w:b/>
          <w:bCs/>
          <w:sz w:val="24"/>
          <w:szCs w:val="24"/>
          <w:rtl/>
        </w:rPr>
        <w:t>ב</w:t>
      </w:r>
      <w:r w:rsidR="00B569AA">
        <w:rPr>
          <w:rFonts w:cs="David" w:hint="cs"/>
          <w:b/>
          <w:bCs/>
          <w:sz w:val="24"/>
          <w:szCs w:val="24"/>
          <w:rtl/>
        </w:rPr>
        <w:t xml:space="preserve">. </w:t>
      </w:r>
      <w:r w:rsidR="002400CD" w:rsidRPr="00E31199">
        <w:rPr>
          <w:rFonts w:cs="David" w:hint="cs"/>
          <w:b/>
          <w:bCs/>
          <w:sz w:val="24"/>
          <w:szCs w:val="24"/>
          <w:rtl/>
        </w:rPr>
        <w:t>מדיניות התביעה בהגשת כתבי אישום</w:t>
      </w:r>
      <w:r w:rsidR="00433D5F">
        <w:rPr>
          <w:rFonts w:cs="David" w:hint="cs"/>
          <w:b/>
          <w:bCs/>
          <w:sz w:val="24"/>
          <w:szCs w:val="24"/>
          <w:rtl/>
        </w:rPr>
        <w:t xml:space="preserve"> בעבירות לפי סעיפים 3 ו-4 לחוק איסור הלבנת הון</w:t>
      </w:r>
    </w:p>
    <w:p w14:paraId="6BE4EEDA" w14:textId="77777777" w:rsidR="002400CD" w:rsidRDefault="00B569AA" w:rsidP="00B97E93">
      <w:pPr>
        <w:numPr>
          <w:ilvl w:val="0"/>
          <w:numId w:val="2"/>
        </w:numPr>
        <w:spacing w:after="160" w:line="360" w:lineRule="auto"/>
        <w:jc w:val="both"/>
        <w:rPr>
          <w:rFonts w:cs="David"/>
          <w:sz w:val="24"/>
          <w:szCs w:val="24"/>
        </w:rPr>
      </w:pPr>
      <w:r>
        <w:rPr>
          <w:rFonts w:cs="David" w:hint="cs"/>
          <w:sz w:val="24"/>
          <w:szCs w:val="24"/>
          <w:rtl/>
        </w:rPr>
        <w:t xml:space="preserve">עבירות של הלבנת הון לפי סעיפים 3 ו-4 לחוק הן עבירות נפרדות מעבירות המקור, </w:t>
      </w:r>
      <w:r w:rsidR="000104E7">
        <w:rPr>
          <w:rFonts w:cs="David" w:hint="cs"/>
          <w:sz w:val="24"/>
          <w:szCs w:val="24"/>
          <w:rtl/>
        </w:rPr>
        <w:t xml:space="preserve">והן מאפשרות הטלת עונש נפרד ונוסף, שלעיתים אף חמור יותר מהעונש המוטל על עבירת המקור. לכן, </w:t>
      </w:r>
      <w:r w:rsidR="001208EB">
        <w:rPr>
          <w:rFonts w:cs="David" w:hint="cs"/>
          <w:sz w:val="24"/>
          <w:szCs w:val="24"/>
          <w:rtl/>
        </w:rPr>
        <w:t xml:space="preserve">הוספת </w:t>
      </w:r>
      <w:r w:rsidR="00663ED2" w:rsidRPr="00E31199">
        <w:rPr>
          <w:rFonts w:cs="David" w:hint="cs"/>
          <w:sz w:val="24"/>
          <w:szCs w:val="24"/>
          <w:rtl/>
        </w:rPr>
        <w:t>אישום בעבירה של הלבנת הון</w:t>
      </w:r>
      <w:r w:rsidR="002400CD" w:rsidRPr="00E31199">
        <w:rPr>
          <w:rFonts w:cs="David" w:hint="cs"/>
          <w:sz w:val="24"/>
          <w:szCs w:val="24"/>
          <w:rtl/>
        </w:rPr>
        <w:t xml:space="preserve"> </w:t>
      </w:r>
      <w:r w:rsidR="001208EB">
        <w:rPr>
          <w:rFonts w:cs="David" w:hint="cs"/>
          <w:sz w:val="24"/>
          <w:szCs w:val="24"/>
          <w:rtl/>
        </w:rPr>
        <w:t xml:space="preserve">לכתב האישום, </w:t>
      </w:r>
      <w:r w:rsidR="00C566CB">
        <w:rPr>
          <w:rFonts w:cs="David" w:hint="cs"/>
          <w:sz w:val="24"/>
          <w:szCs w:val="24"/>
          <w:rtl/>
        </w:rPr>
        <w:t>תיעשה רק במקרים בהם ישנה</w:t>
      </w:r>
      <w:r w:rsidR="002400CD" w:rsidRPr="00E31199">
        <w:rPr>
          <w:rFonts w:cs="David" w:hint="cs"/>
          <w:sz w:val="24"/>
          <w:szCs w:val="24"/>
          <w:rtl/>
        </w:rPr>
        <w:t xml:space="preserve"> </w:t>
      </w:r>
      <w:r w:rsidR="00871821" w:rsidRPr="00E31199">
        <w:rPr>
          <w:rFonts w:cs="David" w:hint="cs"/>
          <w:sz w:val="24"/>
          <w:szCs w:val="24"/>
          <w:rtl/>
        </w:rPr>
        <w:t xml:space="preserve">פגיעה </w:t>
      </w:r>
      <w:r w:rsidR="00BC3034" w:rsidRPr="00E31199">
        <w:rPr>
          <w:rFonts w:cs="David" w:hint="cs"/>
          <w:sz w:val="24"/>
          <w:szCs w:val="24"/>
          <w:rtl/>
        </w:rPr>
        <w:t>ב</w:t>
      </w:r>
      <w:r w:rsidR="002400CD" w:rsidRPr="00E31199">
        <w:rPr>
          <w:rFonts w:cs="David" w:hint="cs"/>
          <w:sz w:val="24"/>
          <w:szCs w:val="24"/>
          <w:rtl/>
        </w:rPr>
        <w:t xml:space="preserve">ערך מוגן נוסף </w:t>
      </w:r>
      <w:r>
        <w:rPr>
          <w:rFonts w:cs="David" w:hint="cs"/>
          <w:sz w:val="24"/>
          <w:szCs w:val="24"/>
          <w:rtl/>
        </w:rPr>
        <w:t xml:space="preserve">ונפרד </w:t>
      </w:r>
      <w:r w:rsidR="000104E7">
        <w:rPr>
          <w:rFonts w:cs="David" w:hint="cs"/>
          <w:sz w:val="24"/>
          <w:szCs w:val="24"/>
          <w:rtl/>
        </w:rPr>
        <w:t xml:space="preserve">מהערך המוגן של </w:t>
      </w:r>
      <w:r w:rsidR="00771CC1" w:rsidRPr="00E31199">
        <w:rPr>
          <w:rFonts w:cs="David" w:hint="cs"/>
          <w:sz w:val="24"/>
          <w:szCs w:val="24"/>
          <w:rtl/>
        </w:rPr>
        <w:t>ע</w:t>
      </w:r>
      <w:r w:rsidR="00AD4DFE" w:rsidRPr="00E31199">
        <w:rPr>
          <w:rFonts w:cs="David" w:hint="cs"/>
          <w:sz w:val="24"/>
          <w:szCs w:val="24"/>
          <w:rtl/>
        </w:rPr>
        <w:t>בירת המקור</w:t>
      </w:r>
      <w:r w:rsidR="002400CD" w:rsidRPr="00E31199">
        <w:rPr>
          <w:rFonts w:cs="David" w:hint="cs"/>
          <w:sz w:val="24"/>
          <w:szCs w:val="24"/>
          <w:rtl/>
        </w:rPr>
        <w:t>.</w:t>
      </w:r>
    </w:p>
    <w:p w14:paraId="2512FEAD" w14:textId="78F61C0D" w:rsidR="00430813" w:rsidRPr="002D0FEB" w:rsidRDefault="00803BB8" w:rsidP="00E346C0">
      <w:pPr>
        <w:numPr>
          <w:ilvl w:val="0"/>
          <w:numId w:val="2"/>
        </w:numPr>
        <w:spacing w:after="160" w:line="360" w:lineRule="auto"/>
        <w:jc w:val="both"/>
        <w:rPr>
          <w:rFonts w:cs="David"/>
          <w:sz w:val="24"/>
          <w:szCs w:val="24"/>
        </w:rPr>
      </w:pPr>
      <w:r w:rsidRPr="002D0FEB">
        <w:rPr>
          <w:rFonts w:cs="David" w:hint="cs"/>
          <w:sz w:val="24"/>
          <w:szCs w:val="24"/>
          <w:rtl/>
        </w:rPr>
        <w:t xml:space="preserve">בית המשפט העליון (ע"פ 8235/05 </w:t>
      </w:r>
      <w:r w:rsidRPr="002D0FEB">
        <w:rPr>
          <w:rFonts w:cs="David" w:hint="cs"/>
          <w:b/>
          <w:bCs/>
          <w:sz w:val="24"/>
          <w:szCs w:val="24"/>
          <w:rtl/>
        </w:rPr>
        <w:t>בלס נ' מדינת ישראל</w:t>
      </w:r>
      <w:r w:rsidRPr="002D0FEB">
        <w:rPr>
          <w:rFonts w:cs="David" w:hint="cs"/>
          <w:sz w:val="24"/>
          <w:szCs w:val="24"/>
          <w:rtl/>
        </w:rPr>
        <w:t xml:space="preserve"> (פורסם בנבו 10.1.07)) הכיר בכך שחוק איסור הלבנת הון אינו מחייב נתק בין עבירת המקור ההופכת את הרכוש לרכוש אסור, לבין פעולת ההסתרה וההסוואה של אותו רכוש המהווה עבירות הלבנת הון לפי </w:t>
      </w:r>
      <w:r w:rsidR="00C85278" w:rsidRPr="002D0FEB">
        <w:rPr>
          <w:rFonts w:cs="David" w:hint="cs"/>
          <w:sz w:val="24"/>
          <w:szCs w:val="24"/>
          <w:rtl/>
        </w:rPr>
        <w:t>ה</w:t>
      </w:r>
      <w:r w:rsidRPr="002D0FEB">
        <w:rPr>
          <w:rFonts w:cs="David" w:hint="cs"/>
          <w:sz w:val="24"/>
          <w:szCs w:val="24"/>
          <w:rtl/>
        </w:rPr>
        <w:t>חוק.</w:t>
      </w:r>
      <w:r w:rsidR="00430813" w:rsidRPr="002D0FEB">
        <w:rPr>
          <w:rFonts w:cs="David" w:hint="cs"/>
          <w:sz w:val="24"/>
          <w:szCs w:val="24"/>
          <w:rtl/>
        </w:rPr>
        <w:t xml:space="preserve"> </w:t>
      </w:r>
      <w:r w:rsidR="00531B26" w:rsidRPr="002D0FEB">
        <w:rPr>
          <w:rFonts w:cs="David" w:hint="cs"/>
          <w:sz w:val="24"/>
          <w:szCs w:val="24"/>
          <w:rtl/>
        </w:rPr>
        <w:t xml:space="preserve">ואולם, </w:t>
      </w:r>
      <w:r w:rsidR="00886281" w:rsidRPr="002D0FEB">
        <w:rPr>
          <w:rFonts w:cs="David" w:hint="cs"/>
          <w:sz w:val="24"/>
          <w:szCs w:val="24"/>
          <w:rtl/>
        </w:rPr>
        <w:t xml:space="preserve">במקרים של "התמזגות" </w:t>
      </w:r>
      <w:r w:rsidR="00166E8D" w:rsidRPr="002D0FEB">
        <w:rPr>
          <w:rFonts w:cs="David" w:hint="cs"/>
          <w:sz w:val="24"/>
          <w:szCs w:val="24"/>
          <w:rtl/>
        </w:rPr>
        <w:t xml:space="preserve">יש </w:t>
      </w:r>
      <w:r w:rsidR="006970AF" w:rsidRPr="002D0FEB">
        <w:rPr>
          <w:rFonts w:cs="David" w:hint="cs"/>
          <w:sz w:val="24"/>
          <w:szCs w:val="24"/>
          <w:rtl/>
        </w:rPr>
        <w:t xml:space="preserve">מקום להוסיף לכתב האישום אישום נפרד בעבירה של הלבנת הון, </w:t>
      </w:r>
      <w:r w:rsidR="00166E8D" w:rsidRPr="002D0FEB">
        <w:rPr>
          <w:rFonts w:cs="David" w:hint="cs"/>
          <w:sz w:val="24"/>
          <w:szCs w:val="24"/>
          <w:rtl/>
        </w:rPr>
        <w:t xml:space="preserve">רק </w:t>
      </w:r>
      <w:r w:rsidR="00C85278" w:rsidRPr="002D0FEB">
        <w:rPr>
          <w:rFonts w:cs="David" w:hint="cs"/>
          <w:sz w:val="24"/>
          <w:szCs w:val="24"/>
          <w:rtl/>
        </w:rPr>
        <w:t xml:space="preserve">אם ניתן להצביע על קיומה של </w:t>
      </w:r>
      <w:r w:rsidR="002611FC" w:rsidRPr="002D0FEB">
        <w:rPr>
          <w:rFonts w:cs="David" w:hint="cs"/>
          <w:sz w:val="24"/>
          <w:szCs w:val="24"/>
          <w:rtl/>
        </w:rPr>
        <w:t xml:space="preserve">פגיעה </w:t>
      </w:r>
      <w:r w:rsidR="00886281" w:rsidRPr="002D0FEB">
        <w:rPr>
          <w:rFonts w:cs="David" w:hint="cs"/>
          <w:sz w:val="24"/>
          <w:szCs w:val="24"/>
          <w:rtl/>
        </w:rPr>
        <w:t xml:space="preserve">ברורה </w:t>
      </w:r>
      <w:r w:rsidR="002611FC" w:rsidRPr="002D0FEB">
        <w:rPr>
          <w:rFonts w:cs="David" w:hint="cs"/>
          <w:sz w:val="24"/>
          <w:szCs w:val="24"/>
          <w:rtl/>
        </w:rPr>
        <w:t>בערך מוגן נוסף ונפרד מזה של עבירת המקור.</w:t>
      </w:r>
    </w:p>
    <w:p w14:paraId="0E4ADAA6" w14:textId="07ACA204" w:rsidR="002400CD" w:rsidRDefault="00871821" w:rsidP="00647F86">
      <w:pPr>
        <w:numPr>
          <w:ilvl w:val="0"/>
          <w:numId w:val="2"/>
        </w:numPr>
        <w:spacing w:after="160" w:line="360" w:lineRule="auto"/>
        <w:jc w:val="both"/>
        <w:rPr>
          <w:rFonts w:cs="David"/>
          <w:sz w:val="24"/>
          <w:szCs w:val="24"/>
        </w:rPr>
      </w:pPr>
      <w:r w:rsidRPr="00E31199">
        <w:rPr>
          <w:rFonts w:cs="David" w:hint="cs"/>
          <w:sz w:val="24"/>
          <w:szCs w:val="24"/>
          <w:rtl/>
        </w:rPr>
        <w:t>הפגיעה ב</w:t>
      </w:r>
      <w:r w:rsidR="002400CD" w:rsidRPr="00E31199">
        <w:rPr>
          <w:rFonts w:cs="David" w:hint="cs"/>
          <w:sz w:val="24"/>
          <w:szCs w:val="24"/>
          <w:rtl/>
        </w:rPr>
        <w:t xml:space="preserve">ערך המוגן </w:t>
      </w:r>
      <w:r w:rsidR="001B1FB4">
        <w:rPr>
          <w:rFonts w:cs="David" w:hint="cs"/>
          <w:sz w:val="24"/>
          <w:szCs w:val="24"/>
          <w:rtl/>
        </w:rPr>
        <w:t>הנוסף בעבירה לפי סעיף 3 ל</w:t>
      </w:r>
      <w:r w:rsidRPr="00E31199">
        <w:rPr>
          <w:rFonts w:cs="David" w:hint="cs"/>
          <w:sz w:val="24"/>
          <w:szCs w:val="24"/>
          <w:rtl/>
        </w:rPr>
        <w:t>חוק איסור הלבנת הון</w:t>
      </w:r>
      <w:r w:rsidR="00633785">
        <w:rPr>
          <w:rFonts w:cs="David" w:hint="cs"/>
          <w:sz w:val="24"/>
          <w:szCs w:val="24"/>
          <w:rtl/>
        </w:rPr>
        <w:t>,</w:t>
      </w:r>
      <w:r w:rsidRPr="00E31199">
        <w:rPr>
          <w:rFonts w:cs="David" w:hint="cs"/>
          <w:sz w:val="24"/>
          <w:szCs w:val="24"/>
          <w:rtl/>
        </w:rPr>
        <w:t xml:space="preserve"> </w:t>
      </w:r>
      <w:r w:rsidR="00D02D24">
        <w:rPr>
          <w:rFonts w:cs="David" w:hint="cs"/>
          <w:sz w:val="24"/>
          <w:szCs w:val="24"/>
          <w:rtl/>
        </w:rPr>
        <w:t xml:space="preserve">קיימת מקום </w:t>
      </w:r>
      <w:r w:rsidR="000C1802">
        <w:rPr>
          <w:rFonts w:cs="David" w:hint="cs"/>
          <w:sz w:val="24"/>
          <w:szCs w:val="24"/>
          <w:rtl/>
        </w:rPr>
        <w:t>ש</w:t>
      </w:r>
      <w:r w:rsidR="00D02D24">
        <w:rPr>
          <w:rFonts w:cs="David" w:hint="cs"/>
          <w:sz w:val="24"/>
          <w:szCs w:val="24"/>
          <w:rtl/>
        </w:rPr>
        <w:t xml:space="preserve">בו נעשתה פעולה שמטרתה היא </w:t>
      </w:r>
      <w:r w:rsidR="002400CD" w:rsidRPr="00E31199">
        <w:rPr>
          <w:rFonts w:cs="David" w:hint="cs"/>
          <w:sz w:val="24"/>
          <w:szCs w:val="24"/>
          <w:rtl/>
        </w:rPr>
        <w:t>הסתרה והסווא</w:t>
      </w:r>
      <w:r w:rsidR="00D02D24">
        <w:rPr>
          <w:rFonts w:cs="David" w:hint="cs"/>
          <w:sz w:val="24"/>
          <w:szCs w:val="24"/>
          <w:rtl/>
        </w:rPr>
        <w:t>ה</w:t>
      </w:r>
      <w:r w:rsidR="002400CD" w:rsidRPr="00E31199">
        <w:rPr>
          <w:rFonts w:cs="David" w:hint="cs"/>
          <w:sz w:val="24"/>
          <w:szCs w:val="24"/>
          <w:rtl/>
        </w:rPr>
        <w:t xml:space="preserve"> </w:t>
      </w:r>
      <w:r w:rsidRPr="00E31199">
        <w:rPr>
          <w:rFonts w:cs="David" w:hint="cs"/>
          <w:sz w:val="24"/>
          <w:szCs w:val="24"/>
          <w:rtl/>
        </w:rPr>
        <w:t xml:space="preserve">של הכספים נשוא עבירת </w:t>
      </w:r>
      <w:r w:rsidR="00D02D24">
        <w:rPr>
          <w:rFonts w:cs="David" w:hint="cs"/>
          <w:sz w:val="24"/>
          <w:szCs w:val="24"/>
          <w:rtl/>
        </w:rPr>
        <w:t>המקור</w:t>
      </w:r>
      <w:r w:rsidRPr="00E31199">
        <w:rPr>
          <w:rFonts w:cs="David" w:hint="cs"/>
          <w:sz w:val="24"/>
          <w:szCs w:val="24"/>
          <w:rtl/>
        </w:rPr>
        <w:t>, מיקומם, זהות הבעלים האמיתי שלהם ועוד</w:t>
      </w:r>
      <w:r w:rsidR="009203CB">
        <w:rPr>
          <w:rFonts w:cs="David" w:hint="cs"/>
          <w:sz w:val="24"/>
          <w:szCs w:val="24"/>
          <w:rtl/>
        </w:rPr>
        <w:t>, והכל מתוך מגמה להחדיר את פירות עבירת המקור לתוך המערכת הפיננסית הלגיטימית</w:t>
      </w:r>
      <w:r w:rsidRPr="00E31199">
        <w:rPr>
          <w:rFonts w:cs="David" w:hint="cs"/>
          <w:sz w:val="24"/>
          <w:szCs w:val="24"/>
          <w:rtl/>
        </w:rPr>
        <w:t xml:space="preserve">. הדבר </w:t>
      </w:r>
      <w:r w:rsidR="002400CD" w:rsidRPr="00E31199">
        <w:rPr>
          <w:rFonts w:cs="David" w:hint="cs"/>
          <w:sz w:val="24"/>
          <w:szCs w:val="24"/>
          <w:rtl/>
        </w:rPr>
        <w:t xml:space="preserve"> יכול לבוא לידי ביטוי, למשל, </w:t>
      </w:r>
      <w:r w:rsidRPr="00E31199">
        <w:rPr>
          <w:rFonts w:cs="David" w:hint="cs"/>
          <w:sz w:val="24"/>
          <w:szCs w:val="24"/>
          <w:rtl/>
        </w:rPr>
        <w:t xml:space="preserve">בהפקדת </w:t>
      </w:r>
      <w:r w:rsidR="002400CD" w:rsidRPr="00E31199">
        <w:rPr>
          <w:rFonts w:cs="David" w:hint="cs"/>
          <w:sz w:val="24"/>
          <w:szCs w:val="24"/>
          <w:rtl/>
        </w:rPr>
        <w:t xml:space="preserve">כספי </w:t>
      </w:r>
      <w:r w:rsidR="00D02D24">
        <w:rPr>
          <w:rFonts w:cs="David" w:hint="cs"/>
          <w:sz w:val="24"/>
          <w:szCs w:val="24"/>
          <w:rtl/>
        </w:rPr>
        <w:t xml:space="preserve">העבירה </w:t>
      </w:r>
      <w:r w:rsidR="002400CD" w:rsidRPr="00E31199">
        <w:rPr>
          <w:rFonts w:cs="David" w:hint="cs"/>
          <w:sz w:val="24"/>
          <w:szCs w:val="24"/>
          <w:rtl/>
        </w:rPr>
        <w:t xml:space="preserve">לחשבונות על שם אנשים אחרים </w:t>
      </w:r>
      <w:r w:rsidR="009203CB">
        <w:rPr>
          <w:rFonts w:cs="David" w:hint="cs"/>
          <w:sz w:val="24"/>
          <w:szCs w:val="24"/>
          <w:rtl/>
        </w:rPr>
        <w:t xml:space="preserve">או </w:t>
      </w:r>
      <w:r w:rsidR="002400CD" w:rsidRPr="00E31199">
        <w:rPr>
          <w:rFonts w:cs="David" w:hint="cs"/>
          <w:sz w:val="24"/>
          <w:szCs w:val="24"/>
          <w:rtl/>
        </w:rPr>
        <w:t xml:space="preserve">לחשבונות בחו"ל, </w:t>
      </w:r>
      <w:r w:rsidR="009203CB">
        <w:rPr>
          <w:rFonts w:cs="David" w:hint="cs"/>
          <w:sz w:val="24"/>
          <w:szCs w:val="24"/>
          <w:rtl/>
        </w:rPr>
        <w:t>ב</w:t>
      </w:r>
      <w:r w:rsidR="002400CD" w:rsidRPr="00E31199">
        <w:rPr>
          <w:rFonts w:cs="David" w:hint="cs"/>
          <w:sz w:val="24"/>
          <w:szCs w:val="24"/>
          <w:rtl/>
        </w:rPr>
        <w:t xml:space="preserve">שימוש באנשי קש או בחברות קש, </w:t>
      </w:r>
      <w:r w:rsidR="009203CB">
        <w:rPr>
          <w:rFonts w:cs="David" w:hint="cs"/>
          <w:sz w:val="24"/>
          <w:szCs w:val="24"/>
          <w:rtl/>
        </w:rPr>
        <w:t>ב</w:t>
      </w:r>
      <w:r w:rsidR="002400CD" w:rsidRPr="00E31199">
        <w:rPr>
          <w:rFonts w:cs="David" w:hint="cs"/>
          <w:sz w:val="24"/>
          <w:szCs w:val="24"/>
          <w:rtl/>
        </w:rPr>
        <w:t>הקמת ישויות משפטיו</w:t>
      </w:r>
      <w:r w:rsidR="009076FE" w:rsidRPr="00E31199">
        <w:rPr>
          <w:rFonts w:cs="David" w:hint="cs"/>
          <w:sz w:val="24"/>
          <w:szCs w:val="24"/>
          <w:rtl/>
        </w:rPr>
        <w:t>ת מורכבות</w:t>
      </w:r>
      <w:r w:rsidR="00AC56A1">
        <w:rPr>
          <w:rFonts w:cs="David" w:hint="cs"/>
          <w:sz w:val="24"/>
          <w:szCs w:val="24"/>
          <w:rtl/>
        </w:rPr>
        <w:t>,</w:t>
      </w:r>
      <w:r w:rsidR="00D02D24">
        <w:rPr>
          <w:rFonts w:cs="David" w:hint="cs"/>
          <w:sz w:val="24"/>
          <w:szCs w:val="24"/>
          <w:rtl/>
        </w:rPr>
        <w:t xml:space="preserve"> ו</w:t>
      </w:r>
      <w:r w:rsidR="009203CB">
        <w:rPr>
          <w:rFonts w:cs="David" w:hint="cs"/>
          <w:sz w:val="24"/>
          <w:szCs w:val="24"/>
          <w:rtl/>
        </w:rPr>
        <w:t>ב</w:t>
      </w:r>
      <w:r w:rsidR="00D02D24">
        <w:rPr>
          <w:rFonts w:cs="David" w:hint="cs"/>
          <w:sz w:val="24"/>
          <w:szCs w:val="24"/>
          <w:rtl/>
        </w:rPr>
        <w:t xml:space="preserve">פעולות פיננסיות מתוחכמות אחרות </w:t>
      </w:r>
      <w:r w:rsidR="009203CB">
        <w:rPr>
          <w:rFonts w:cs="David" w:hint="cs"/>
          <w:sz w:val="24"/>
          <w:szCs w:val="24"/>
          <w:rtl/>
        </w:rPr>
        <w:t>כיוצא באלה</w:t>
      </w:r>
      <w:r w:rsidR="002400CD" w:rsidRPr="00E31199">
        <w:rPr>
          <w:rFonts w:cs="David" w:hint="cs"/>
          <w:sz w:val="24"/>
          <w:szCs w:val="24"/>
          <w:rtl/>
        </w:rPr>
        <w:t>.</w:t>
      </w:r>
    </w:p>
    <w:p w14:paraId="68B2DA3C" w14:textId="77777777" w:rsidR="00CC32D2" w:rsidRDefault="001E4213" w:rsidP="009E0820">
      <w:pPr>
        <w:numPr>
          <w:ilvl w:val="0"/>
          <w:numId w:val="2"/>
        </w:numPr>
        <w:spacing w:after="160" w:line="360" w:lineRule="auto"/>
        <w:jc w:val="both"/>
        <w:rPr>
          <w:rFonts w:cs="David"/>
          <w:sz w:val="24"/>
          <w:szCs w:val="24"/>
        </w:rPr>
      </w:pPr>
      <w:r>
        <w:rPr>
          <w:rFonts w:cs="David" w:hint="cs"/>
          <w:sz w:val="24"/>
          <w:szCs w:val="24"/>
          <w:rtl/>
        </w:rPr>
        <w:t>כאשר ה"</w:t>
      </w:r>
      <w:r w:rsidRPr="00FB5D46">
        <w:rPr>
          <w:rFonts w:cs="David" w:hint="cs"/>
          <w:sz w:val="24"/>
          <w:szCs w:val="24"/>
          <w:rtl/>
        </w:rPr>
        <w:t xml:space="preserve">פעולה ברכוש" של מי שביצע את עבירת המקור </w:t>
      </w:r>
      <w:r w:rsidR="00FB5D46" w:rsidRPr="00FB5D46">
        <w:rPr>
          <w:rFonts w:cs="David" w:hint="cs"/>
          <w:sz w:val="24"/>
          <w:szCs w:val="24"/>
          <w:rtl/>
        </w:rPr>
        <w:t xml:space="preserve">(הלבנה עצמית </w:t>
      </w:r>
      <w:r w:rsidR="00FB5D46" w:rsidRPr="00FB5D46">
        <w:rPr>
          <w:rFonts w:cs="David"/>
          <w:sz w:val="24"/>
          <w:szCs w:val="24"/>
          <w:rtl/>
        </w:rPr>
        <w:t>–</w:t>
      </w:r>
      <w:r w:rsidR="00FB5D46" w:rsidRPr="00FB5D46">
        <w:rPr>
          <w:rFonts w:cs="David" w:hint="cs"/>
          <w:sz w:val="24"/>
          <w:szCs w:val="24"/>
          <w:rtl/>
        </w:rPr>
        <w:t xml:space="preserve"> </w:t>
      </w:r>
      <w:r w:rsidR="00FB5D46" w:rsidRPr="00FB5D46">
        <w:rPr>
          <w:rFonts w:cs="David"/>
          <w:sz w:val="24"/>
          <w:szCs w:val="24"/>
        </w:rPr>
        <w:t>self-laundering</w:t>
      </w:r>
      <w:r w:rsidR="00FB5D46" w:rsidRPr="00FB5D46">
        <w:rPr>
          <w:rFonts w:cs="David" w:hint="cs"/>
          <w:sz w:val="24"/>
          <w:szCs w:val="24"/>
          <w:rtl/>
        </w:rPr>
        <w:t xml:space="preserve">) </w:t>
      </w:r>
      <w:r w:rsidRPr="00FB5D46">
        <w:rPr>
          <w:rFonts w:cs="David" w:hint="cs"/>
          <w:sz w:val="24"/>
          <w:szCs w:val="24"/>
          <w:rtl/>
        </w:rPr>
        <w:t>מתמצי</w:t>
      </w:r>
      <w:r>
        <w:rPr>
          <w:rFonts w:cs="David" w:hint="cs"/>
          <w:sz w:val="24"/>
          <w:szCs w:val="24"/>
          <w:rtl/>
        </w:rPr>
        <w:t xml:space="preserve">ת בהמשך החזקת הרכוש האסור, בביתו או בחשבון הבנק שלו, לא ניתן להצביע על </w:t>
      </w:r>
      <w:r w:rsidR="009E0820">
        <w:rPr>
          <w:rFonts w:cs="David" w:hint="cs"/>
          <w:sz w:val="24"/>
          <w:szCs w:val="24"/>
          <w:rtl/>
        </w:rPr>
        <w:t xml:space="preserve">קיומו של </w:t>
      </w:r>
      <w:r>
        <w:rPr>
          <w:rFonts w:cs="David" w:hint="cs"/>
          <w:sz w:val="24"/>
          <w:szCs w:val="24"/>
          <w:rtl/>
        </w:rPr>
        <w:t>ערך מוגן נוסף ונפרד מעבירת המקור</w:t>
      </w:r>
      <w:r w:rsidR="009E0820">
        <w:rPr>
          <w:rFonts w:cs="David" w:hint="cs"/>
          <w:sz w:val="24"/>
          <w:szCs w:val="24"/>
          <w:rtl/>
        </w:rPr>
        <w:t>, ולכן</w:t>
      </w:r>
      <w:r w:rsidR="00EF3379">
        <w:rPr>
          <w:rFonts w:cs="David" w:hint="cs"/>
          <w:sz w:val="24"/>
          <w:szCs w:val="24"/>
          <w:rtl/>
        </w:rPr>
        <w:t xml:space="preserve">, בהתאם </w:t>
      </w:r>
      <w:r w:rsidR="009E0820">
        <w:rPr>
          <w:rFonts w:cs="David" w:hint="cs"/>
          <w:sz w:val="24"/>
          <w:szCs w:val="24"/>
          <w:rtl/>
        </w:rPr>
        <w:t xml:space="preserve">להוראות </w:t>
      </w:r>
      <w:r w:rsidR="00EF3379">
        <w:rPr>
          <w:rFonts w:cs="David" w:hint="cs"/>
          <w:sz w:val="24"/>
          <w:szCs w:val="24"/>
          <w:rtl/>
        </w:rPr>
        <w:t>סעיף 4א לחוק</w:t>
      </w:r>
      <w:r w:rsidR="006800A7">
        <w:rPr>
          <w:rFonts w:cs="David" w:hint="cs"/>
          <w:sz w:val="24"/>
          <w:szCs w:val="24"/>
          <w:rtl/>
        </w:rPr>
        <w:t>,</w:t>
      </w:r>
      <w:r w:rsidR="00EF3379">
        <w:rPr>
          <w:rFonts w:cs="David" w:hint="cs"/>
          <w:sz w:val="24"/>
          <w:szCs w:val="24"/>
          <w:rtl/>
        </w:rPr>
        <w:t xml:space="preserve"> לא </w:t>
      </w:r>
      <w:r w:rsidR="006800A7">
        <w:rPr>
          <w:rFonts w:cs="David" w:hint="cs"/>
          <w:sz w:val="24"/>
          <w:szCs w:val="24"/>
          <w:rtl/>
        </w:rPr>
        <w:t xml:space="preserve">תתגבש </w:t>
      </w:r>
      <w:r w:rsidR="00EF3379">
        <w:rPr>
          <w:rFonts w:cs="David" w:hint="cs"/>
          <w:sz w:val="24"/>
          <w:szCs w:val="24"/>
          <w:rtl/>
        </w:rPr>
        <w:t xml:space="preserve">עבירה </w:t>
      </w:r>
      <w:r w:rsidR="006800A7">
        <w:rPr>
          <w:rFonts w:cs="David" w:hint="cs"/>
          <w:sz w:val="24"/>
          <w:szCs w:val="24"/>
          <w:rtl/>
        </w:rPr>
        <w:t xml:space="preserve">לפי סעיפים 3 או 4 לחוק </w:t>
      </w:r>
      <w:r w:rsidR="00EF3379">
        <w:rPr>
          <w:rFonts w:cs="David" w:hint="cs"/>
          <w:sz w:val="24"/>
          <w:szCs w:val="24"/>
          <w:rtl/>
        </w:rPr>
        <w:t>שניתן להגיש בגינה כתב אישום</w:t>
      </w:r>
      <w:r>
        <w:rPr>
          <w:rFonts w:cs="David" w:hint="cs"/>
          <w:sz w:val="24"/>
          <w:szCs w:val="24"/>
          <w:rtl/>
        </w:rPr>
        <w:t xml:space="preserve">.  </w:t>
      </w:r>
    </w:p>
    <w:p w14:paraId="306B1806" w14:textId="77777777" w:rsidR="00E11511" w:rsidRDefault="00E11511" w:rsidP="00E11511">
      <w:pPr>
        <w:spacing w:after="160" w:line="360" w:lineRule="auto"/>
        <w:ind w:left="720"/>
        <w:jc w:val="both"/>
        <w:rPr>
          <w:rFonts w:cs="David"/>
          <w:sz w:val="24"/>
          <w:szCs w:val="24"/>
        </w:rPr>
      </w:pPr>
    </w:p>
    <w:p w14:paraId="17856B0F" w14:textId="77777777" w:rsidR="00E11511" w:rsidRPr="00871EF1" w:rsidRDefault="00E11511" w:rsidP="00E11511">
      <w:pPr>
        <w:spacing w:after="160" w:line="360" w:lineRule="auto"/>
        <w:jc w:val="both"/>
        <w:rPr>
          <w:rFonts w:cs="David"/>
          <w:b/>
          <w:bCs/>
          <w:sz w:val="24"/>
          <w:szCs w:val="24"/>
          <w:rtl/>
        </w:rPr>
      </w:pPr>
      <w:r>
        <w:rPr>
          <w:rFonts w:cs="David" w:hint="cs"/>
          <w:b/>
          <w:bCs/>
          <w:sz w:val="24"/>
          <w:szCs w:val="24"/>
          <w:rtl/>
        </w:rPr>
        <w:t>ג</w:t>
      </w:r>
      <w:r w:rsidRPr="00871EF1">
        <w:rPr>
          <w:rFonts w:cs="David" w:hint="cs"/>
          <w:b/>
          <w:bCs/>
          <w:sz w:val="24"/>
          <w:szCs w:val="24"/>
          <w:rtl/>
        </w:rPr>
        <w:t xml:space="preserve">. </w:t>
      </w:r>
      <w:r>
        <w:rPr>
          <w:rFonts w:cs="David" w:hint="cs"/>
          <w:b/>
          <w:bCs/>
          <w:sz w:val="24"/>
          <w:szCs w:val="24"/>
          <w:rtl/>
        </w:rPr>
        <w:t>היסוד הנפשי של "מטרה להסתיר"</w:t>
      </w:r>
    </w:p>
    <w:p w14:paraId="7468DFDC" w14:textId="77777777" w:rsidR="00E11511" w:rsidRDefault="00E11511" w:rsidP="00E11511">
      <w:pPr>
        <w:pStyle w:val="Ruller4"/>
        <w:numPr>
          <w:ilvl w:val="0"/>
          <w:numId w:val="2"/>
        </w:numPr>
        <w:spacing w:after="160"/>
        <w:rPr>
          <w:rFonts w:ascii="Calibri" w:eastAsia="Calibri" w:hAnsi="Calibri" w:cs="David"/>
          <w:spacing w:val="0"/>
          <w:sz w:val="24"/>
          <w:szCs w:val="24"/>
        </w:rPr>
      </w:pPr>
      <w:r w:rsidRPr="00D82660">
        <w:rPr>
          <w:rFonts w:ascii="Calibri" w:eastAsia="Calibri" w:hAnsi="Calibri" w:cs="David" w:hint="cs"/>
          <w:spacing w:val="0"/>
          <w:sz w:val="24"/>
          <w:szCs w:val="24"/>
          <w:rtl/>
        </w:rPr>
        <w:t xml:space="preserve">סעיף 3(א) לחוק מהווה את לב ליבו של החוק. בסעיף זה עיגן המחוקק את האיסור על ביצוע פעולות ברכוש אסור במטרה להסתיר את מקורו, את זהות בעלי הזכויות בו, את מיקומו, את תנועותיו או עשיית פעולה בו. </w:t>
      </w:r>
    </w:p>
    <w:p w14:paraId="7660EAB6" w14:textId="77777777" w:rsidR="00E11511" w:rsidRDefault="00E11511" w:rsidP="004973B0">
      <w:pPr>
        <w:pStyle w:val="Ruller4"/>
        <w:numPr>
          <w:ilvl w:val="0"/>
          <w:numId w:val="2"/>
        </w:numPr>
        <w:spacing w:after="160"/>
        <w:rPr>
          <w:rFonts w:ascii="Calibri" w:eastAsia="Calibri" w:hAnsi="Calibri" w:cs="David"/>
          <w:spacing w:val="0"/>
          <w:sz w:val="24"/>
          <w:szCs w:val="24"/>
        </w:rPr>
      </w:pPr>
      <w:r>
        <w:rPr>
          <w:rFonts w:ascii="Calibri" w:eastAsia="Calibri" w:hAnsi="Calibri" w:cs="David" w:hint="cs"/>
          <w:spacing w:val="0"/>
          <w:sz w:val="24"/>
          <w:szCs w:val="24"/>
          <w:rtl/>
        </w:rPr>
        <w:t xml:space="preserve">מטבע הדברים, עבריין אינו מבצע </w:t>
      </w:r>
      <w:r w:rsidRPr="00D82660">
        <w:rPr>
          <w:rFonts w:ascii="Calibri" w:eastAsia="Calibri" w:hAnsi="Calibri" w:cs="David" w:hint="cs"/>
          <w:spacing w:val="0"/>
          <w:sz w:val="24"/>
          <w:szCs w:val="24"/>
          <w:rtl/>
        </w:rPr>
        <w:t>את פעילותו העבריינית באופן גלוי וחשוף לאור השמש</w:t>
      </w:r>
      <w:r>
        <w:rPr>
          <w:rFonts w:ascii="Calibri" w:eastAsia="Calibri" w:hAnsi="Calibri" w:cs="David" w:hint="cs"/>
          <w:spacing w:val="0"/>
          <w:sz w:val="24"/>
          <w:szCs w:val="24"/>
          <w:rtl/>
        </w:rPr>
        <w:t xml:space="preserve">, ויש לו מגמה ורצון להסתיר את העבירה שביצע כדי שלא להיתפס. לכן, אין לראות בכל כוונה להסתיר או להסוות את עצם ביצועה של עבירת המקור, כמקיימת את היסוד הנפשי של "הסתרה" או "הסוואה" לצורך גיבושה של עבירה לפי סעיף 3(א) לחוק. כדי שתתגבש עבירה לפי סעיף 3(א) לחוק, </w:t>
      </w:r>
      <w:r w:rsidR="002D49E2">
        <w:rPr>
          <w:rFonts w:ascii="Calibri" w:eastAsia="Calibri" w:hAnsi="Calibri" w:cs="David" w:hint="cs"/>
          <w:spacing w:val="0"/>
          <w:sz w:val="24"/>
          <w:szCs w:val="24"/>
          <w:rtl/>
        </w:rPr>
        <w:t xml:space="preserve">נדרש כי </w:t>
      </w:r>
      <w:r>
        <w:rPr>
          <w:rFonts w:ascii="Calibri" w:eastAsia="Calibri" w:hAnsi="Calibri" w:cs="David" w:hint="cs"/>
          <w:spacing w:val="0"/>
          <w:sz w:val="24"/>
          <w:szCs w:val="24"/>
          <w:rtl/>
        </w:rPr>
        <w:t xml:space="preserve">מעבר לכוונה להסתיר או להסוות את עצם ביצוע עבירת המקור, יהיה יסוד נפשי </w:t>
      </w:r>
      <w:r w:rsidRPr="004973B0">
        <w:rPr>
          <w:rFonts w:ascii="Calibri" w:eastAsia="Calibri" w:hAnsi="Calibri" w:cs="David" w:hint="cs"/>
          <w:spacing w:val="0"/>
          <w:sz w:val="24"/>
          <w:szCs w:val="24"/>
          <w:u w:val="single"/>
          <w:rtl/>
        </w:rPr>
        <w:t>נוסף</w:t>
      </w:r>
      <w:r>
        <w:rPr>
          <w:rFonts w:ascii="Calibri" w:eastAsia="Calibri" w:hAnsi="Calibri" w:cs="David" w:hint="cs"/>
          <w:spacing w:val="0"/>
          <w:sz w:val="24"/>
          <w:szCs w:val="24"/>
          <w:rtl/>
        </w:rPr>
        <w:t xml:space="preserve"> של הסתרה או הסוואה של </w:t>
      </w:r>
      <w:r w:rsidR="004973B0">
        <w:rPr>
          <w:rFonts w:ascii="Calibri" w:eastAsia="Calibri" w:hAnsi="Calibri" w:cs="David" w:hint="cs"/>
          <w:spacing w:val="0"/>
          <w:sz w:val="24"/>
          <w:szCs w:val="24"/>
          <w:rtl/>
        </w:rPr>
        <w:t>ה</w:t>
      </w:r>
      <w:r>
        <w:rPr>
          <w:rFonts w:ascii="Calibri" w:eastAsia="Calibri" w:hAnsi="Calibri" w:cs="David" w:hint="cs"/>
          <w:spacing w:val="0"/>
          <w:sz w:val="24"/>
          <w:szCs w:val="24"/>
          <w:rtl/>
        </w:rPr>
        <w:t>רכוש האסור, שמגמתו היא החדרה של פירות עבירת המקור לתוך המערכת הפיננסית הלגיטימית.</w:t>
      </w:r>
    </w:p>
    <w:p w14:paraId="26A122CB" w14:textId="2ED84602" w:rsidR="00710E49" w:rsidRPr="00710E49" w:rsidRDefault="00A82084" w:rsidP="00F93244">
      <w:pPr>
        <w:pStyle w:val="Ruller4"/>
        <w:numPr>
          <w:ilvl w:val="0"/>
          <w:numId w:val="2"/>
        </w:numPr>
        <w:spacing w:after="160"/>
        <w:rPr>
          <w:rFonts w:ascii="Calibri" w:eastAsia="Calibri" w:hAnsi="Calibri" w:cs="David"/>
          <w:spacing w:val="0"/>
          <w:sz w:val="24"/>
          <w:szCs w:val="24"/>
        </w:rPr>
      </w:pPr>
      <w:r>
        <w:rPr>
          <w:rFonts w:ascii="Calibri" w:eastAsia="Calibri" w:hAnsi="Calibri" w:cs="David" w:hint="cs"/>
          <w:spacing w:val="0"/>
          <w:sz w:val="24"/>
          <w:szCs w:val="24"/>
          <w:rtl/>
        </w:rPr>
        <w:t xml:space="preserve">ככלל, </w:t>
      </w:r>
      <w:r w:rsidR="003E60DA" w:rsidRPr="00710E49">
        <w:rPr>
          <w:rFonts w:ascii="Calibri" w:eastAsia="Calibri" w:hAnsi="Calibri" w:cs="David" w:hint="cs"/>
          <w:spacing w:val="0"/>
          <w:sz w:val="24"/>
          <w:szCs w:val="24"/>
          <w:rtl/>
        </w:rPr>
        <w:t xml:space="preserve">אין לראות </w:t>
      </w:r>
      <w:r>
        <w:rPr>
          <w:rFonts w:ascii="Calibri" w:eastAsia="Calibri" w:hAnsi="Calibri" w:cs="David" w:hint="cs"/>
          <w:spacing w:val="0"/>
          <w:sz w:val="24"/>
          <w:szCs w:val="24"/>
          <w:rtl/>
        </w:rPr>
        <w:t>ב</w:t>
      </w:r>
      <w:r w:rsidR="003E60DA" w:rsidRPr="00710E49">
        <w:rPr>
          <w:rFonts w:ascii="Calibri" w:eastAsia="Calibri" w:hAnsi="Calibri" w:cs="David" w:hint="cs"/>
          <w:spacing w:val="0"/>
          <w:sz w:val="24"/>
          <w:szCs w:val="24"/>
          <w:rtl/>
        </w:rPr>
        <w:t>מקר</w:t>
      </w:r>
      <w:r>
        <w:rPr>
          <w:rFonts w:ascii="Calibri" w:eastAsia="Calibri" w:hAnsi="Calibri" w:cs="David" w:hint="cs"/>
          <w:spacing w:val="0"/>
          <w:sz w:val="24"/>
          <w:szCs w:val="24"/>
          <w:rtl/>
        </w:rPr>
        <w:t>ים</w:t>
      </w:r>
      <w:r w:rsidR="003E60DA" w:rsidRPr="00710E49">
        <w:rPr>
          <w:rFonts w:ascii="Calibri" w:eastAsia="Calibri" w:hAnsi="Calibri" w:cs="David" w:hint="cs"/>
          <w:spacing w:val="0"/>
          <w:sz w:val="24"/>
          <w:szCs w:val="24"/>
          <w:rtl/>
        </w:rPr>
        <w:t xml:space="preserve"> שב</w:t>
      </w:r>
      <w:r>
        <w:rPr>
          <w:rFonts w:ascii="Calibri" w:eastAsia="Calibri" w:hAnsi="Calibri" w:cs="David" w:hint="cs"/>
          <w:spacing w:val="0"/>
          <w:sz w:val="24"/>
          <w:szCs w:val="24"/>
          <w:rtl/>
        </w:rPr>
        <w:t>הם</w:t>
      </w:r>
      <w:r w:rsidR="003E60DA" w:rsidRPr="00710E49">
        <w:rPr>
          <w:rFonts w:ascii="Calibri" w:eastAsia="Calibri" w:hAnsi="Calibri" w:cs="David" w:hint="cs"/>
          <w:spacing w:val="0"/>
          <w:sz w:val="24"/>
          <w:szCs w:val="24"/>
          <w:rtl/>
        </w:rPr>
        <w:t xml:space="preserve"> </w:t>
      </w:r>
      <w:r w:rsidR="00E11511" w:rsidRPr="00710E49">
        <w:rPr>
          <w:rFonts w:ascii="Calibri" w:eastAsia="Calibri" w:hAnsi="Calibri" w:cs="David" w:hint="cs"/>
          <w:spacing w:val="0"/>
          <w:sz w:val="24"/>
          <w:szCs w:val="24"/>
          <w:rtl/>
        </w:rPr>
        <w:t xml:space="preserve">מטרתו של העבריין </w:t>
      </w:r>
      <w:r w:rsidR="003E60DA" w:rsidRPr="00710E49">
        <w:rPr>
          <w:rFonts w:ascii="Calibri" w:eastAsia="Calibri" w:hAnsi="Calibri" w:cs="David" w:hint="cs"/>
          <w:spacing w:val="0"/>
          <w:sz w:val="24"/>
          <w:szCs w:val="24"/>
          <w:rtl/>
        </w:rPr>
        <w:t xml:space="preserve">היא </w:t>
      </w:r>
      <w:r w:rsidR="00E11511" w:rsidRPr="00710E49">
        <w:rPr>
          <w:rFonts w:ascii="Calibri" w:eastAsia="Calibri" w:hAnsi="Calibri" w:cs="David" w:hint="cs"/>
          <w:spacing w:val="0"/>
          <w:sz w:val="24"/>
          <w:szCs w:val="24"/>
          <w:rtl/>
        </w:rPr>
        <w:t>צריכה עצמית של הרכוש האסור</w:t>
      </w:r>
      <w:r w:rsidR="003E60DA" w:rsidRPr="00710E49">
        <w:rPr>
          <w:rFonts w:ascii="Calibri" w:eastAsia="Calibri" w:hAnsi="Calibri" w:cs="David" w:hint="cs"/>
          <w:spacing w:val="0"/>
          <w:sz w:val="24"/>
          <w:szCs w:val="24"/>
          <w:rtl/>
        </w:rPr>
        <w:t>, כמקיימ</w:t>
      </w:r>
      <w:r>
        <w:rPr>
          <w:rFonts w:ascii="Calibri" w:eastAsia="Calibri" w:hAnsi="Calibri" w:cs="David" w:hint="cs"/>
          <w:spacing w:val="0"/>
          <w:sz w:val="24"/>
          <w:szCs w:val="24"/>
          <w:rtl/>
        </w:rPr>
        <w:t>ים</w:t>
      </w:r>
      <w:r w:rsidR="003E60DA" w:rsidRPr="00710E49">
        <w:rPr>
          <w:rFonts w:ascii="Calibri" w:eastAsia="Calibri" w:hAnsi="Calibri" w:cs="David" w:hint="cs"/>
          <w:spacing w:val="0"/>
          <w:sz w:val="24"/>
          <w:szCs w:val="24"/>
          <w:rtl/>
        </w:rPr>
        <w:t xml:space="preserve"> את </w:t>
      </w:r>
      <w:r w:rsidR="00E11511" w:rsidRPr="00710E49">
        <w:rPr>
          <w:rFonts w:ascii="Calibri" w:eastAsia="Calibri" w:hAnsi="Calibri" w:cs="David" w:hint="cs"/>
          <w:spacing w:val="0"/>
          <w:sz w:val="24"/>
          <w:szCs w:val="24"/>
          <w:rtl/>
        </w:rPr>
        <w:t>היסוד הנפשי הנדרש</w:t>
      </w:r>
      <w:r w:rsidR="004973B0" w:rsidRPr="00710E49">
        <w:rPr>
          <w:rFonts w:ascii="Calibri" w:eastAsia="Calibri" w:hAnsi="Calibri" w:cs="David" w:hint="cs"/>
          <w:spacing w:val="0"/>
          <w:sz w:val="24"/>
          <w:szCs w:val="24"/>
          <w:rtl/>
        </w:rPr>
        <w:t xml:space="preserve"> לקיומה של עבירה לפי סעיף 3(א) לחוק</w:t>
      </w:r>
      <w:r w:rsidR="00710E49" w:rsidRPr="00710E49">
        <w:rPr>
          <w:rFonts w:ascii="Calibri" w:eastAsia="Calibri" w:hAnsi="Calibri" w:cs="David" w:hint="cs"/>
          <w:spacing w:val="0"/>
          <w:sz w:val="24"/>
          <w:szCs w:val="24"/>
          <w:rtl/>
        </w:rPr>
        <w:t xml:space="preserve">, אלא אם כן ניתן להצביע על כך שהצריכה העצמית של הרכוש היא, למעשה, חלק ממערך מתכונן של הסתרה או הסוואה של הרכוש האסור. </w:t>
      </w:r>
      <w:r w:rsidR="00BC4DB4" w:rsidRPr="00710E49">
        <w:rPr>
          <w:rFonts w:ascii="Calibri" w:eastAsia="Calibri" w:hAnsi="Calibri" w:cs="David" w:hint="cs"/>
          <w:spacing w:val="0"/>
          <w:sz w:val="24"/>
          <w:szCs w:val="24"/>
          <w:rtl/>
        </w:rPr>
        <w:t xml:space="preserve">כך, למשל, אדם </w:t>
      </w:r>
      <w:r w:rsidR="00615C01">
        <w:rPr>
          <w:rFonts w:ascii="Calibri" w:eastAsia="Calibri" w:hAnsi="Calibri" w:cs="David" w:hint="cs"/>
          <w:spacing w:val="0"/>
          <w:sz w:val="24"/>
          <w:szCs w:val="24"/>
          <w:rtl/>
        </w:rPr>
        <w:t>ש</w:t>
      </w:r>
      <w:r w:rsidR="00FE2275">
        <w:rPr>
          <w:rFonts w:ascii="Calibri" w:eastAsia="Calibri" w:hAnsi="Calibri" w:cs="David" w:hint="cs"/>
          <w:spacing w:val="0"/>
          <w:sz w:val="24"/>
          <w:szCs w:val="24"/>
          <w:rtl/>
        </w:rPr>
        <w:t>גנב כספים</w:t>
      </w:r>
      <w:r w:rsidR="00BC4DB4" w:rsidRPr="00710E49">
        <w:rPr>
          <w:rFonts w:ascii="Calibri" w:eastAsia="Calibri" w:hAnsi="Calibri" w:cs="David" w:hint="cs"/>
          <w:spacing w:val="0"/>
          <w:sz w:val="24"/>
          <w:szCs w:val="24"/>
          <w:rtl/>
        </w:rPr>
        <w:t xml:space="preserve"> </w:t>
      </w:r>
      <w:r w:rsidR="00F318ED" w:rsidRPr="00710E49">
        <w:rPr>
          <w:rFonts w:ascii="Calibri" w:eastAsia="Calibri" w:hAnsi="Calibri" w:cs="David" w:hint="cs"/>
          <w:spacing w:val="0"/>
          <w:sz w:val="24"/>
          <w:szCs w:val="24"/>
          <w:rtl/>
        </w:rPr>
        <w:t xml:space="preserve">או </w:t>
      </w:r>
      <w:r w:rsidR="00BC4DB4" w:rsidRPr="00710E49">
        <w:rPr>
          <w:rFonts w:ascii="Calibri" w:eastAsia="Calibri" w:hAnsi="Calibri" w:cs="David" w:hint="cs"/>
          <w:spacing w:val="0"/>
          <w:sz w:val="24"/>
          <w:szCs w:val="24"/>
          <w:rtl/>
        </w:rPr>
        <w:t xml:space="preserve">הרוויח כתוצאה מעסקת סמים, </w:t>
      </w:r>
      <w:r w:rsidR="00FE2275">
        <w:rPr>
          <w:rFonts w:ascii="Calibri" w:eastAsia="Calibri" w:hAnsi="Calibri" w:cs="David" w:hint="cs"/>
          <w:spacing w:val="0"/>
          <w:sz w:val="24"/>
          <w:szCs w:val="24"/>
          <w:rtl/>
        </w:rPr>
        <w:t xml:space="preserve">ולאחר מכן </w:t>
      </w:r>
      <w:r w:rsidR="00BC4DB4" w:rsidRPr="00710E49">
        <w:rPr>
          <w:rFonts w:ascii="Calibri" w:eastAsia="Calibri" w:hAnsi="Calibri" w:cs="David" w:hint="cs"/>
          <w:spacing w:val="0"/>
          <w:sz w:val="24"/>
          <w:szCs w:val="24"/>
          <w:rtl/>
        </w:rPr>
        <w:t xml:space="preserve">רכש עם </w:t>
      </w:r>
      <w:r w:rsidR="00B65E16">
        <w:rPr>
          <w:rFonts w:ascii="Calibri" w:eastAsia="Calibri" w:hAnsi="Calibri" w:cs="David" w:hint="cs"/>
          <w:spacing w:val="0"/>
          <w:sz w:val="24"/>
          <w:szCs w:val="24"/>
          <w:rtl/>
        </w:rPr>
        <w:t xml:space="preserve">כספי </w:t>
      </w:r>
      <w:r w:rsidR="00F318ED" w:rsidRPr="00710E49">
        <w:rPr>
          <w:rFonts w:ascii="Calibri" w:eastAsia="Calibri" w:hAnsi="Calibri" w:cs="David" w:hint="cs"/>
          <w:spacing w:val="0"/>
          <w:sz w:val="24"/>
          <w:szCs w:val="24"/>
          <w:rtl/>
        </w:rPr>
        <w:t xml:space="preserve">העבירה </w:t>
      </w:r>
      <w:r w:rsidR="00BC4DB4" w:rsidRPr="00710E49">
        <w:rPr>
          <w:rFonts w:ascii="Calibri" w:eastAsia="Calibri" w:hAnsi="Calibri" w:cs="David" w:hint="cs"/>
          <w:spacing w:val="0"/>
          <w:sz w:val="24"/>
          <w:szCs w:val="24"/>
          <w:rtl/>
        </w:rPr>
        <w:t>מכשיר</w:t>
      </w:r>
      <w:r w:rsidR="00EA38CE" w:rsidRPr="00710E49">
        <w:rPr>
          <w:rFonts w:ascii="Calibri" w:eastAsia="Calibri" w:hAnsi="Calibri" w:cs="David" w:hint="cs"/>
          <w:spacing w:val="0"/>
          <w:sz w:val="24"/>
          <w:szCs w:val="24"/>
          <w:rtl/>
        </w:rPr>
        <w:t>י</w:t>
      </w:r>
      <w:r w:rsidR="00BC4DB4" w:rsidRPr="00710E49">
        <w:rPr>
          <w:rFonts w:ascii="Calibri" w:eastAsia="Calibri" w:hAnsi="Calibri" w:cs="David" w:hint="cs"/>
          <w:spacing w:val="0"/>
          <w:sz w:val="24"/>
          <w:szCs w:val="24"/>
          <w:rtl/>
        </w:rPr>
        <w:t xml:space="preserve"> חשמל לצורך שימושו האישי, </w:t>
      </w:r>
      <w:r>
        <w:rPr>
          <w:rFonts w:ascii="Calibri" w:eastAsia="Calibri" w:hAnsi="Calibri" w:cs="David" w:hint="cs"/>
          <w:spacing w:val="0"/>
          <w:sz w:val="24"/>
          <w:szCs w:val="24"/>
          <w:rtl/>
        </w:rPr>
        <w:t xml:space="preserve">אין לראות בו </w:t>
      </w:r>
      <w:r w:rsidR="00845A74" w:rsidRPr="00710E49">
        <w:rPr>
          <w:rFonts w:ascii="Calibri" w:eastAsia="Calibri" w:hAnsi="Calibri" w:cs="David" w:hint="cs"/>
          <w:spacing w:val="0"/>
          <w:sz w:val="24"/>
          <w:szCs w:val="24"/>
          <w:rtl/>
        </w:rPr>
        <w:t>כמי ש</w:t>
      </w:r>
      <w:r w:rsidR="003C3C6E" w:rsidRPr="00710E49">
        <w:rPr>
          <w:rFonts w:ascii="Calibri" w:eastAsia="Calibri" w:hAnsi="Calibri" w:cs="David" w:hint="cs"/>
          <w:spacing w:val="0"/>
          <w:sz w:val="24"/>
          <w:szCs w:val="24"/>
          <w:rtl/>
        </w:rPr>
        <w:t xml:space="preserve">מטרתו היתה </w:t>
      </w:r>
      <w:r w:rsidR="005525FC" w:rsidRPr="00710E49">
        <w:rPr>
          <w:rFonts w:ascii="Calibri" w:eastAsia="Calibri" w:hAnsi="Calibri" w:cs="David" w:hint="cs"/>
          <w:spacing w:val="0"/>
          <w:sz w:val="24"/>
          <w:szCs w:val="24"/>
          <w:rtl/>
        </w:rPr>
        <w:t>להסתיר או להסוות</w:t>
      </w:r>
      <w:r>
        <w:rPr>
          <w:rFonts w:ascii="Calibri" w:eastAsia="Calibri" w:hAnsi="Calibri" w:cs="David" w:hint="cs"/>
          <w:spacing w:val="0"/>
          <w:sz w:val="24"/>
          <w:szCs w:val="24"/>
          <w:rtl/>
        </w:rPr>
        <w:t xml:space="preserve"> את הרכוש האסור</w:t>
      </w:r>
      <w:r w:rsidR="00710E49" w:rsidRPr="00710E49">
        <w:rPr>
          <w:rFonts w:ascii="Calibri" w:eastAsia="Calibri" w:hAnsi="Calibri" w:cs="David" w:hint="cs"/>
          <w:spacing w:val="0"/>
          <w:sz w:val="24"/>
          <w:szCs w:val="24"/>
          <w:rtl/>
        </w:rPr>
        <w:t>, אלא אם כן מחומר הראיות ע</w:t>
      </w:r>
      <w:r w:rsidR="00F93244">
        <w:rPr>
          <w:rFonts w:ascii="Calibri" w:eastAsia="Calibri" w:hAnsi="Calibri" w:cs="David" w:hint="cs"/>
          <w:spacing w:val="0"/>
          <w:sz w:val="24"/>
          <w:szCs w:val="24"/>
          <w:rtl/>
        </w:rPr>
        <w:t>ו</w:t>
      </w:r>
      <w:r w:rsidR="00710E49" w:rsidRPr="00710E49">
        <w:rPr>
          <w:rFonts w:ascii="Calibri" w:eastAsia="Calibri" w:hAnsi="Calibri" w:cs="David" w:hint="cs"/>
          <w:spacing w:val="0"/>
          <w:sz w:val="24"/>
          <w:szCs w:val="24"/>
          <w:rtl/>
        </w:rPr>
        <w:t xml:space="preserve">לה כי </w:t>
      </w:r>
      <w:r>
        <w:rPr>
          <w:rFonts w:ascii="Calibri" w:eastAsia="Calibri" w:hAnsi="Calibri" w:cs="David" w:hint="cs"/>
          <w:spacing w:val="0"/>
          <w:sz w:val="24"/>
          <w:szCs w:val="24"/>
          <w:rtl/>
        </w:rPr>
        <w:t>רכישת מכשירי החשמל נעשית באופן שיטתי</w:t>
      </w:r>
      <w:r w:rsidR="00710E49" w:rsidRPr="00710E49">
        <w:rPr>
          <w:rFonts w:ascii="Calibri" w:eastAsia="Calibri" w:hAnsi="Calibri" w:cs="David" w:hint="cs"/>
          <w:spacing w:val="0"/>
          <w:sz w:val="24"/>
          <w:szCs w:val="24"/>
          <w:rtl/>
        </w:rPr>
        <w:t xml:space="preserve">, </w:t>
      </w:r>
      <w:r w:rsidR="004A2D55" w:rsidRPr="00710E49">
        <w:rPr>
          <w:rFonts w:ascii="Calibri" w:eastAsia="Calibri" w:hAnsi="Calibri" w:cs="David" w:hint="cs"/>
          <w:spacing w:val="0"/>
          <w:sz w:val="24"/>
          <w:szCs w:val="24"/>
          <w:rtl/>
        </w:rPr>
        <w:t xml:space="preserve">כחלק ממערך </w:t>
      </w:r>
      <w:r w:rsidR="00EA38CE" w:rsidRPr="00710E49">
        <w:rPr>
          <w:rFonts w:ascii="Calibri" w:eastAsia="Calibri" w:hAnsi="Calibri" w:cs="David" w:hint="cs"/>
          <w:spacing w:val="0"/>
          <w:sz w:val="24"/>
          <w:szCs w:val="24"/>
          <w:rtl/>
        </w:rPr>
        <w:t xml:space="preserve">מתוכנן של </w:t>
      </w:r>
      <w:r w:rsidR="004A2D55" w:rsidRPr="00710E49">
        <w:rPr>
          <w:rFonts w:ascii="Calibri" w:eastAsia="Calibri" w:hAnsi="Calibri" w:cs="David" w:hint="cs"/>
          <w:spacing w:val="0"/>
          <w:sz w:val="24"/>
          <w:szCs w:val="24"/>
          <w:rtl/>
        </w:rPr>
        <w:t>הסתרה או הסוואה של הרכוש האסור</w:t>
      </w:r>
      <w:r w:rsidR="00F318ED" w:rsidRPr="00710E49">
        <w:rPr>
          <w:rFonts w:ascii="Calibri" w:eastAsia="Calibri" w:hAnsi="Calibri" w:cs="David" w:hint="cs"/>
          <w:spacing w:val="0"/>
          <w:sz w:val="24"/>
          <w:szCs w:val="24"/>
          <w:rtl/>
        </w:rPr>
        <w:t xml:space="preserve">. </w:t>
      </w:r>
    </w:p>
    <w:p w14:paraId="7F19489E" w14:textId="0EC08C1B" w:rsidR="004973B0" w:rsidRPr="003C3C6E" w:rsidRDefault="004973B0" w:rsidP="00EA38CE">
      <w:pPr>
        <w:pStyle w:val="Ruller4"/>
        <w:numPr>
          <w:ilvl w:val="0"/>
          <w:numId w:val="2"/>
        </w:numPr>
        <w:spacing w:after="160"/>
        <w:rPr>
          <w:rFonts w:ascii="Calibri" w:eastAsia="Calibri" w:hAnsi="Calibri" w:cs="David"/>
          <w:spacing w:val="0"/>
          <w:sz w:val="24"/>
          <w:szCs w:val="24"/>
        </w:rPr>
      </w:pPr>
      <w:r w:rsidRPr="003C3C6E">
        <w:rPr>
          <w:rFonts w:ascii="Calibri" w:eastAsia="Calibri" w:hAnsi="Calibri" w:cs="David" w:hint="cs"/>
          <w:spacing w:val="0"/>
          <w:sz w:val="24"/>
          <w:szCs w:val="24"/>
          <w:rtl/>
        </w:rPr>
        <w:t xml:space="preserve">בהקשר זה יש להעיר, כי יש מנעד רחב של מטרות אפשריות, כאשר בצד אחד ניצבת מטרה להסתיר ולהסוות את הרכוש האסור, ובצד השני ניצבת מטרה של צריכת הרכוש האסור. במקרים </w:t>
      </w:r>
      <w:r w:rsidR="00895EA3" w:rsidRPr="003C3C6E">
        <w:rPr>
          <w:rFonts w:ascii="Calibri" w:eastAsia="Calibri" w:hAnsi="Calibri" w:cs="David" w:hint="cs"/>
          <w:spacing w:val="0"/>
          <w:sz w:val="24"/>
          <w:szCs w:val="24"/>
          <w:rtl/>
        </w:rPr>
        <w:t>ש</w:t>
      </w:r>
      <w:r w:rsidRPr="003C3C6E">
        <w:rPr>
          <w:rFonts w:ascii="Calibri" w:eastAsia="Calibri" w:hAnsi="Calibri" w:cs="David" w:hint="cs"/>
          <w:spacing w:val="0"/>
          <w:sz w:val="24"/>
          <w:szCs w:val="24"/>
          <w:rtl/>
        </w:rPr>
        <w:t xml:space="preserve">בהם </w:t>
      </w:r>
      <w:r w:rsidR="00895EA3" w:rsidRPr="003C3C6E">
        <w:rPr>
          <w:rFonts w:ascii="Calibri" w:eastAsia="Calibri" w:hAnsi="Calibri" w:cs="David" w:hint="cs"/>
          <w:spacing w:val="0"/>
          <w:sz w:val="24"/>
          <w:szCs w:val="24"/>
          <w:rtl/>
        </w:rPr>
        <w:t xml:space="preserve">היו לעבריין </w:t>
      </w:r>
      <w:r w:rsidRPr="003C3C6E">
        <w:rPr>
          <w:rFonts w:ascii="Calibri" w:eastAsia="Calibri" w:hAnsi="Calibri" w:cs="David" w:hint="cs"/>
          <w:spacing w:val="0"/>
          <w:sz w:val="24"/>
          <w:szCs w:val="24"/>
          <w:rtl/>
        </w:rPr>
        <w:t>מטרות שונות, יש לבחון מהי המטרה הדומיננטית, ולפי זה להחליט האם התגבש ה</w:t>
      </w:r>
      <w:r w:rsidR="00A22C7C" w:rsidRPr="003C3C6E">
        <w:rPr>
          <w:rFonts w:ascii="Calibri" w:eastAsia="Calibri" w:hAnsi="Calibri" w:cs="David" w:hint="cs"/>
          <w:spacing w:val="0"/>
          <w:sz w:val="24"/>
          <w:szCs w:val="24"/>
          <w:rtl/>
        </w:rPr>
        <w:t>יסוד הנפשי הנדרש לקיומה של עבירת ההלבנה</w:t>
      </w:r>
      <w:r w:rsidRPr="003C3C6E">
        <w:rPr>
          <w:rFonts w:ascii="Calibri" w:eastAsia="Calibri" w:hAnsi="Calibri" w:cs="David" w:hint="cs"/>
          <w:spacing w:val="0"/>
          <w:sz w:val="24"/>
          <w:szCs w:val="24"/>
          <w:rtl/>
        </w:rPr>
        <w:t xml:space="preserve">. </w:t>
      </w:r>
    </w:p>
    <w:p w14:paraId="2399DFA6" w14:textId="77777777" w:rsidR="003E46AB" w:rsidRDefault="003E46AB" w:rsidP="00390375">
      <w:pPr>
        <w:spacing w:after="160" w:line="360" w:lineRule="auto"/>
        <w:jc w:val="both"/>
        <w:rPr>
          <w:rFonts w:cs="David"/>
          <w:b/>
          <w:bCs/>
          <w:sz w:val="24"/>
          <w:szCs w:val="24"/>
          <w:rtl/>
        </w:rPr>
      </w:pPr>
    </w:p>
    <w:p w14:paraId="135D66C5" w14:textId="77777777" w:rsidR="009203CB" w:rsidRPr="00871EF1" w:rsidRDefault="001D4667" w:rsidP="00390375">
      <w:pPr>
        <w:spacing w:after="160" w:line="360" w:lineRule="auto"/>
        <w:jc w:val="both"/>
        <w:rPr>
          <w:rFonts w:cs="David"/>
          <w:b/>
          <w:bCs/>
          <w:sz w:val="24"/>
          <w:szCs w:val="24"/>
        </w:rPr>
      </w:pPr>
      <w:r>
        <w:rPr>
          <w:rFonts w:cs="David" w:hint="cs"/>
          <w:b/>
          <w:bCs/>
          <w:sz w:val="24"/>
          <w:szCs w:val="24"/>
          <w:rtl/>
        </w:rPr>
        <w:t>ד</w:t>
      </w:r>
      <w:r w:rsidR="009203CB" w:rsidRPr="00871EF1">
        <w:rPr>
          <w:rFonts w:cs="David" w:hint="cs"/>
          <w:b/>
          <w:bCs/>
          <w:sz w:val="24"/>
          <w:szCs w:val="24"/>
          <w:rtl/>
        </w:rPr>
        <w:t>. עבירות מס כעבירות מקור</w:t>
      </w:r>
    </w:p>
    <w:p w14:paraId="013C3FC7" w14:textId="77777777" w:rsidR="001D4667" w:rsidRDefault="009203CB" w:rsidP="00E11511">
      <w:pPr>
        <w:keepLines/>
        <w:numPr>
          <w:ilvl w:val="0"/>
          <w:numId w:val="2"/>
        </w:numPr>
        <w:spacing w:after="160" w:line="360" w:lineRule="auto"/>
        <w:jc w:val="both"/>
        <w:rPr>
          <w:rFonts w:cs="David"/>
          <w:sz w:val="24"/>
          <w:szCs w:val="24"/>
        </w:rPr>
      </w:pPr>
      <w:r w:rsidRPr="00E31199">
        <w:rPr>
          <w:rFonts w:cs="David" w:hint="cs"/>
          <w:sz w:val="24"/>
          <w:szCs w:val="24"/>
          <w:rtl/>
        </w:rPr>
        <w:t xml:space="preserve">לאחרונה תוקן חוק איסור הלבנת הון והתווספו לרשימת עבירות המקור המנויות בתוספת הראשונה לחוק עבירות </w:t>
      </w:r>
      <w:r>
        <w:rPr>
          <w:rFonts w:cs="David" w:hint="cs"/>
          <w:sz w:val="24"/>
          <w:szCs w:val="24"/>
          <w:rtl/>
        </w:rPr>
        <w:t xml:space="preserve">הלבנת הון ברכוש אסור המתייחס לעבירות מקור שהן עבירות מס הקבועות בתוספת הראשונה לחוק איסור הלבנת הון: סעיף 220 לפקודת מס הכנסה, סעיף 117 לחוק מע"מ וסעיף 98ג </w:t>
      </w:r>
      <w:r w:rsidRPr="00E31199">
        <w:rPr>
          <w:rFonts w:cs="David" w:hint="cs"/>
          <w:sz w:val="24"/>
          <w:szCs w:val="24"/>
          <w:rtl/>
        </w:rPr>
        <w:t>לחוק מיסוי מקרקעין</w:t>
      </w:r>
      <w:r w:rsidR="001D4667">
        <w:rPr>
          <w:rFonts w:cs="David" w:hint="cs"/>
          <w:sz w:val="24"/>
          <w:szCs w:val="24"/>
          <w:rtl/>
        </w:rPr>
        <w:t xml:space="preserve"> בנסיבות ובסייגים שפורטו בתוספת הראשונה לחוק.</w:t>
      </w:r>
    </w:p>
    <w:p w14:paraId="7F676F36" w14:textId="77777777" w:rsidR="009203CB" w:rsidRPr="005F4588" w:rsidRDefault="001D4667" w:rsidP="00E11511">
      <w:pPr>
        <w:keepLines/>
        <w:numPr>
          <w:ilvl w:val="0"/>
          <w:numId w:val="2"/>
        </w:numPr>
        <w:spacing w:after="160" w:line="360" w:lineRule="auto"/>
        <w:jc w:val="both"/>
        <w:rPr>
          <w:rFonts w:cs="David"/>
          <w:sz w:val="24"/>
          <w:szCs w:val="24"/>
          <w:highlight w:val="lightGray"/>
        </w:rPr>
      </w:pPr>
      <w:r w:rsidRPr="005F4588">
        <w:rPr>
          <w:rFonts w:cs="David" w:hint="cs"/>
          <w:sz w:val="24"/>
          <w:szCs w:val="24"/>
          <w:highlight w:val="lightGray"/>
          <w:rtl/>
        </w:rPr>
        <w:t xml:space="preserve">בפרטים .... לתוספת הראשונה לחוק נקבע, </w:t>
      </w:r>
      <w:r w:rsidR="009203CB" w:rsidRPr="005F4588">
        <w:rPr>
          <w:rFonts w:cs="David" w:hint="cs"/>
          <w:sz w:val="24"/>
          <w:szCs w:val="24"/>
          <w:highlight w:val="lightGray"/>
          <w:rtl/>
        </w:rPr>
        <w:t xml:space="preserve">כי עבירות </w:t>
      </w:r>
      <w:r w:rsidRPr="005F4588">
        <w:rPr>
          <w:rFonts w:cs="David" w:hint="cs"/>
          <w:sz w:val="24"/>
          <w:szCs w:val="24"/>
          <w:highlight w:val="lightGray"/>
          <w:rtl/>
        </w:rPr>
        <w:t>המס האמורות תחשבנה כ</w:t>
      </w:r>
      <w:r w:rsidR="009203CB" w:rsidRPr="005F4588">
        <w:rPr>
          <w:rFonts w:cs="David" w:hint="cs"/>
          <w:sz w:val="24"/>
          <w:szCs w:val="24"/>
          <w:highlight w:val="lightGray"/>
          <w:rtl/>
        </w:rPr>
        <w:t xml:space="preserve">עבירות מקור </w:t>
      </w:r>
      <w:r w:rsidRPr="005F4588">
        <w:rPr>
          <w:rFonts w:cs="David" w:hint="cs"/>
          <w:sz w:val="24"/>
          <w:szCs w:val="24"/>
          <w:highlight w:val="lightGray"/>
          <w:rtl/>
        </w:rPr>
        <w:t xml:space="preserve">אך ורק </w:t>
      </w:r>
      <w:r w:rsidR="009203CB" w:rsidRPr="005F4588">
        <w:rPr>
          <w:rFonts w:cs="David" w:hint="cs"/>
          <w:sz w:val="24"/>
          <w:szCs w:val="24"/>
          <w:highlight w:val="lightGray"/>
          <w:rtl/>
        </w:rPr>
        <w:t>בנסיבות המפורטות להלן [...]</w:t>
      </w:r>
    </w:p>
    <w:p w14:paraId="3E22541E" w14:textId="34A329BB" w:rsidR="008C66E7" w:rsidRPr="00FC3387" w:rsidRDefault="009203CB" w:rsidP="007A33FB">
      <w:pPr>
        <w:keepLines/>
        <w:numPr>
          <w:ilvl w:val="0"/>
          <w:numId w:val="2"/>
        </w:numPr>
        <w:spacing w:after="160" w:line="360" w:lineRule="auto"/>
        <w:jc w:val="both"/>
        <w:rPr>
          <w:rFonts w:cs="David"/>
          <w:sz w:val="24"/>
          <w:szCs w:val="24"/>
        </w:rPr>
      </w:pPr>
      <w:r w:rsidRPr="00FC3387">
        <w:rPr>
          <w:rFonts w:cs="David" w:hint="cs"/>
          <w:sz w:val="24"/>
          <w:szCs w:val="24"/>
          <w:rtl/>
        </w:rPr>
        <w:lastRenderedPageBreak/>
        <w:t>לעניין התנאי של תחכום</w:t>
      </w:r>
      <w:r w:rsidR="004E448C" w:rsidRPr="00FC3387">
        <w:rPr>
          <w:rFonts w:cs="David" w:hint="cs"/>
          <w:sz w:val="24"/>
          <w:szCs w:val="24"/>
          <w:rtl/>
        </w:rPr>
        <w:t xml:space="preserve"> </w:t>
      </w:r>
      <w:r w:rsidR="008C66E7" w:rsidRPr="00FC3387">
        <w:rPr>
          <w:rFonts w:cs="David"/>
          <w:sz w:val="24"/>
          <w:szCs w:val="24"/>
          <w:rtl/>
        </w:rPr>
        <w:t>–</w:t>
      </w:r>
      <w:r w:rsidR="008C66E7" w:rsidRPr="00FC3387">
        <w:rPr>
          <w:rFonts w:cs="David" w:hint="cs"/>
          <w:sz w:val="24"/>
          <w:szCs w:val="24"/>
          <w:rtl/>
        </w:rPr>
        <w:t xml:space="preserve"> מטבע הדברים, עבריין מס, בדומה לכל עבריין, מבקש להסוות </w:t>
      </w:r>
      <w:r w:rsidR="00FC3387" w:rsidRPr="00FC3387">
        <w:rPr>
          <w:rFonts w:cs="David" w:hint="cs"/>
          <w:sz w:val="24"/>
          <w:szCs w:val="24"/>
          <w:rtl/>
        </w:rPr>
        <w:t xml:space="preserve">את </w:t>
      </w:r>
      <w:r w:rsidR="008C66E7" w:rsidRPr="00FC3387">
        <w:rPr>
          <w:rFonts w:cs="David" w:hint="cs"/>
          <w:sz w:val="24"/>
          <w:szCs w:val="24"/>
          <w:rtl/>
        </w:rPr>
        <w:t xml:space="preserve">העלמת המס </w:t>
      </w:r>
      <w:r w:rsidR="00FC3387" w:rsidRPr="00FC3387">
        <w:rPr>
          <w:rFonts w:cs="David" w:hint="cs"/>
          <w:sz w:val="24"/>
          <w:szCs w:val="24"/>
          <w:rtl/>
        </w:rPr>
        <w:t xml:space="preserve">שביצע </w:t>
      </w:r>
      <w:r w:rsidR="008C66E7" w:rsidRPr="00FC3387">
        <w:rPr>
          <w:rFonts w:cs="David" w:hint="cs"/>
          <w:sz w:val="24"/>
          <w:szCs w:val="24"/>
          <w:rtl/>
        </w:rPr>
        <w:t xml:space="preserve">כדי שלא ניתן יהיה לאתר את פעילותו העבריינית ולהעמידו לדין. כדי להסוות </w:t>
      </w:r>
      <w:r w:rsidR="0065401A" w:rsidRPr="00FC3387">
        <w:rPr>
          <w:rFonts w:cs="David" w:hint="cs"/>
          <w:sz w:val="24"/>
          <w:szCs w:val="24"/>
          <w:rtl/>
        </w:rPr>
        <w:t xml:space="preserve">את עבירת המס </w:t>
      </w:r>
      <w:r w:rsidR="007A33FB">
        <w:rPr>
          <w:rFonts w:cs="David" w:hint="cs"/>
          <w:sz w:val="24"/>
          <w:szCs w:val="24"/>
          <w:rtl/>
        </w:rPr>
        <w:t>ברמה הכי מינימאלית, כך שהעבירה</w:t>
      </w:r>
      <w:r w:rsidR="0065401A" w:rsidRPr="00FC3387">
        <w:rPr>
          <w:rFonts w:cs="David" w:hint="cs"/>
          <w:sz w:val="24"/>
          <w:szCs w:val="24"/>
          <w:rtl/>
        </w:rPr>
        <w:t xml:space="preserve"> </w:t>
      </w:r>
      <w:r w:rsidR="00EC6C69" w:rsidRPr="00FC3387">
        <w:rPr>
          <w:rFonts w:cs="David" w:hint="cs"/>
          <w:sz w:val="24"/>
          <w:szCs w:val="24"/>
          <w:rtl/>
        </w:rPr>
        <w:t xml:space="preserve">לא תהיה </w:t>
      </w:r>
      <w:r w:rsidR="0065401A" w:rsidRPr="00FC3387">
        <w:rPr>
          <w:rFonts w:cs="David" w:hint="cs"/>
          <w:sz w:val="24"/>
          <w:szCs w:val="24"/>
          <w:rtl/>
        </w:rPr>
        <w:t xml:space="preserve">גלויה על פניה </w:t>
      </w:r>
      <w:r w:rsidR="008C66E7" w:rsidRPr="00FC3387">
        <w:rPr>
          <w:rFonts w:cs="David" w:hint="cs"/>
          <w:sz w:val="24"/>
          <w:szCs w:val="24"/>
          <w:rtl/>
        </w:rPr>
        <w:t xml:space="preserve">נדרשת, </w:t>
      </w:r>
      <w:r w:rsidR="00EC6C69" w:rsidRPr="00FC3387">
        <w:rPr>
          <w:rFonts w:cs="David" w:hint="cs"/>
          <w:sz w:val="24"/>
          <w:szCs w:val="24"/>
          <w:rtl/>
        </w:rPr>
        <w:t>לרוב</w:t>
      </w:r>
      <w:r w:rsidR="008C66E7" w:rsidRPr="00FC3387">
        <w:rPr>
          <w:rFonts w:cs="David" w:hint="cs"/>
          <w:sz w:val="24"/>
          <w:szCs w:val="24"/>
          <w:rtl/>
        </w:rPr>
        <w:t xml:space="preserve">, פעילות פיננסית שיש בה אלמנטים </w:t>
      </w:r>
      <w:r w:rsidR="0065401A" w:rsidRPr="00FC3387">
        <w:rPr>
          <w:rFonts w:cs="David" w:hint="cs"/>
          <w:sz w:val="24"/>
          <w:szCs w:val="24"/>
          <w:rtl/>
        </w:rPr>
        <w:t xml:space="preserve">מינימאליים </w:t>
      </w:r>
      <w:r w:rsidR="008C66E7" w:rsidRPr="00FC3387">
        <w:rPr>
          <w:rFonts w:cs="David" w:hint="cs"/>
          <w:sz w:val="24"/>
          <w:szCs w:val="24"/>
          <w:rtl/>
        </w:rPr>
        <w:t xml:space="preserve">של תחכום ושיטתיות. </w:t>
      </w:r>
      <w:r w:rsidR="00FC3387" w:rsidRPr="00FC3387">
        <w:rPr>
          <w:rFonts w:cs="David" w:hint="cs"/>
          <w:sz w:val="24"/>
          <w:szCs w:val="24"/>
          <w:rtl/>
        </w:rPr>
        <w:t>אין לראות בקיומם של אלמנטים כאלה</w:t>
      </w:r>
      <w:r w:rsidR="00891369">
        <w:rPr>
          <w:rFonts w:cs="David" w:hint="cs"/>
          <w:sz w:val="24"/>
          <w:szCs w:val="24"/>
          <w:rtl/>
        </w:rPr>
        <w:t>, כשלעצמם,</w:t>
      </w:r>
      <w:r w:rsidR="00FC3387" w:rsidRPr="00FC3387">
        <w:rPr>
          <w:rFonts w:cs="David" w:hint="cs"/>
          <w:sz w:val="24"/>
          <w:szCs w:val="24"/>
          <w:rtl/>
        </w:rPr>
        <w:t xml:space="preserve"> כ"תחכום ושיטתיות" שמצדיקים לראות את עבירת המס כעבירת מקור לצורך גיבושה, אלא כחלק מהכוונה להסתיר או להסוות את עצם ביצוע עבירת המס. </w:t>
      </w:r>
      <w:r w:rsidR="008C66E7" w:rsidRPr="00FC3387">
        <w:rPr>
          <w:rFonts w:cs="David" w:hint="cs"/>
          <w:sz w:val="24"/>
          <w:szCs w:val="24"/>
          <w:rtl/>
        </w:rPr>
        <w:t xml:space="preserve">לפיכך, </w:t>
      </w:r>
      <w:r w:rsidR="00FC3387">
        <w:rPr>
          <w:rFonts w:cs="David" w:hint="cs"/>
          <w:sz w:val="24"/>
          <w:szCs w:val="24"/>
          <w:rtl/>
        </w:rPr>
        <w:t xml:space="preserve">מובהר </w:t>
      </w:r>
      <w:r w:rsidR="008C66E7" w:rsidRPr="00FC3387">
        <w:rPr>
          <w:rFonts w:cs="David" w:hint="cs"/>
          <w:sz w:val="24"/>
          <w:szCs w:val="24"/>
          <w:rtl/>
        </w:rPr>
        <w:t xml:space="preserve">כי התנאי של </w:t>
      </w:r>
      <w:r w:rsidR="00EC6C69" w:rsidRPr="00FC3387">
        <w:rPr>
          <w:rFonts w:cs="David" w:hint="cs"/>
          <w:sz w:val="24"/>
          <w:szCs w:val="24"/>
          <w:rtl/>
        </w:rPr>
        <w:t>"</w:t>
      </w:r>
      <w:r w:rsidR="008C66E7" w:rsidRPr="00FC3387">
        <w:rPr>
          <w:rFonts w:cs="David" w:hint="cs"/>
          <w:sz w:val="24"/>
          <w:szCs w:val="24"/>
          <w:rtl/>
        </w:rPr>
        <w:t>תחכום ושיטתיות</w:t>
      </w:r>
      <w:r w:rsidR="00EC6C69" w:rsidRPr="00FC3387">
        <w:rPr>
          <w:rFonts w:cs="David" w:hint="cs"/>
          <w:sz w:val="24"/>
          <w:szCs w:val="24"/>
          <w:rtl/>
        </w:rPr>
        <w:t>"</w:t>
      </w:r>
      <w:r w:rsidR="0065401A" w:rsidRPr="00FC3387">
        <w:rPr>
          <w:rFonts w:cs="David" w:hint="cs"/>
          <w:sz w:val="24"/>
          <w:szCs w:val="24"/>
          <w:rtl/>
        </w:rPr>
        <w:t xml:space="preserve"> דורש "דבר מה נוסף"</w:t>
      </w:r>
      <w:r w:rsidR="004E448C" w:rsidRPr="00FC3387">
        <w:rPr>
          <w:rFonts w:cs="David" w:hint="cs"/>
          <w:sz w:val="24"/>
          <w:szCs w:val="24"/>
          <w:rtl/>
        </w:rPr>
        <w:t>, שחורג מפעולות הסוואה "רגילות" של עבריין מס</w:t>
      </w:r>
      <w:r w:rsidR="0065401A" w:rsidRPr="00FC3387">
        <w:rPr>
          <w:rFonts w:cs="David" w:hint="cs"/>
          <w:sz w:val="24"/>
          <w:szCs w:val="24"/>
          <w:rtl/>
        </w:rPr>
        <w:t xml:space="preserve">. </w:t>
      </w:r>
    </w:p>
    <w:p w14:paraId="4601DEB0" w14:textId="77777777" w:rsidR="0065401A" w:rsidRPr="004E448C" w:rsidRDefault="004E448C" w:rsidP="00C3722A">
      <w:pPr>
        <w:keepLines/>
        <w:numPr>
          <w:ilvl w:val="0"/>
          <w:numId w:val="2"/>
        </w:numPr>
        <w:spacing w:after="160" w:line="360" w:lineRule="auto"/>
        <w:jc w:val="both"/>
        <w:rPr>
          <w:rFonts w:cs="David"/>
          <w:sz w:val="24"/>
          <w:szCs w:val="24"/>
        </w:rPr>
      </w:pPr>
      <w:r w:rsidRPr="004E448C">
        <w:rPr>
          <w:rFonts w:cs="David" w:hint="cs"/>
          <w:sz w:val="24"/>
          <w:szCs w:val="24"/>
          <w:rtl/>
        </w:rPr>
        <w:t xml:space="preserve">כך, למשל, </w:t>
      </w:r>
      <w:r w:rsidR="00891369">
        <w:rPr>
          <w:rFonts w:cs="David" w:hint="cs"/>
          <w:sz w:val="24"/>
          <w:szCs w:val="24"/>
          <w:rtl/>
        </w:rPr>
        <w:t xml:space="preserve">הפקדת </w:t>
      </w:r>
      <w:r w:rsidRPr="004E448C">
        <w:rPr>
          <w:rFonts w:cs="David" w:hint="cs"/>
          <w:sz w:val="24"/>
          <w:szCs w:val="24"/>
          <w:rtl/>
        </w:rPr>
        <w:t>תקבולי</w:t>
      </w:r>
      <w:r w:rsidR="00891369">
        <w:rPr>
          <w:rFonts w:cs="David" w:hint="cs"/>
          <w:sz w:val="24"/>
          <w:szCs w:val="24"/>
          <w:rtl/>
        </w:rPr>
        <w:t xml:space="preserve"> עבירה </w:t>
      </w:r>
      <w:r w:rsidRPr="004E448C">
        <w:rPr>
          <w:rFonts w:cs="David" w:hint="cs"/>
          <w:sz w:val="24"/>
          <w:szCs w:val="24"/>
          <w:rtl/>
        </w:rPr>
        <w:t xml:space="preserve">בגופים פיננסיים שונים, או </w:t>
      </w:r>
      <w:r w:rsidR="00C3722A">
        <w:rPr>
          <w:rFonts w:cs="David" w:hint="cs"/>
          <w:sz w:val="24"/>
          <w:szCs w:val="24"/>
          <w:rtl/>
        </w:rPr>
        <w:t>שימוש בשירותים</w:t>
      </w:r>
      <w:r w:rsidRPr="004E448C">
        <w:rPr>
          <w:rFonts w:cs="David" w:hint="cs"/>
          <w:sz w:val="24"/>
          <w:szCs w:val="24"/>
          <w:rtl/>
        </w:rPr>
        <w:t xml:space="preserve"> של בעלי מקצוע המהווים שומרי סף (עורכי דין, רואי חשבון, מנהלי חשבונות, יועצי מס) ללא ידיעתם, אין בהם, </w:t>
      </w:r>
      <w:r w:rsidRPr="00C3722A">
        <w:rPr>
          <w:rFonts w:cs="David" w:hint="cs"/>
          <w:sz w:val="24"/>
          <w:szCs w:val="24"/>
          <w:u w:val="single"/>
          <w:rtl/>
        </w:rPr>
        <w:t>כשלעצמם</w:t>
      </w:r>
      <w:r w:rsidRPr="004E448C">
        <w:rPr>
          <w:rFonts w:cs="David" w:hint="cs"/>
          <w:sz w:val="24"/>
          <w:szCs w:val="24"/>
          <w:rtl/>
        </w:rPr>
        <w:t>, כדי ללמד על תחכום ושיטתיות הנדרשים לצורך גיבוש עבירת מקור, לפי התנאים שנקבעו בחוק</w:t>
      </w:r>
      <w:r w:rsidR="00EC4234">
        <w:rPr>
          <w:rFonts w:cs="David" w:hint="cs"/>
          <w:sz w:val="24"/>
          <w:szCs w:val="24"/>
          <w:rtl/>
        </w:rPr>
        <w:t>, שכן מדובר בפעולות שהם חלק אינהרנטי כמעט מכל עבירה של העלמת מס</w:t>
      </w:r>
      <w:r w:rsidR="00C3722A">
        <w:rPr>
          <w:rFonts w:cs="David" w:hint="cs"/>
          <w:sz w:val="24"/>
          <w:szCs w:val="24"/>
          <w:rtl/>
        </w:rPr>
        <w:t>, וכאן התחכום דורש "דבר מה נוסף".</w:t>
      </w:r>
      <w:r w:rsidRPr="004E448C">
        <w:rPr>
          <w:rFonts w:cs="David" w:hint="cs"/>
          <w:sz w:val="24"/>
          <w:szCs w:val="24"/>
          <w:rtl/>
        </w:rPr>
        <w:t xml:space="preserve"> לעומת זאת, פעולות כדוגמת הפעולות הבאות, יכול שייחשבו, בהתאם לנסיבות המקרה, ככאלה שמקיימות את דרישת התחכום</w:t>
      </w:r>
      <w:r w:rsidR="00EC4234">
        <w:rPr>
          <w:rFonts w:cs="David" w:hint="cs"/>
          <w:sz w:val="24"/>
          <w:szCs w:val="24"/>
          <w:rtl/>
        </w:rPr>
        <w:t xml:space="preserve"> ושיטתיות</w:t>
      </w:r>
      <w:r w:rsidR="009203CB" w:rsidRPr="004E448C">
        <w:rPr>
          <w:rFonts w:cs="David" w:hint="cs"/>
          <w:sz w:val="24"/>
          <w:szCs w:val="24"/>
          <w:rtl/>
        </w:rPr>
        <w:t xml:space="preserve">: שימוש במבנים משפטיים </w:t>
      </w:r>
      <w:r w:rsidRPr="004E448C">
        <w:rPr>
          <w:rFonts w:cs="David" w:hint="cs"/>
          <w:sz w:val="24"/>
          <w:szCs w:val="24"/>
          <w:rtl/>
        </w:rPr>
        <w:t xml:space="preserve">מורכבים </w:t>
      </w:r>
      <w:r w:rsidR="009203CB" w:rsidRPr="004E448C">
        <w:rPr>
          <w:rFonts w:cs="David" w:hint="cs"/>
          <w:sz w:val="24"/>
          <w:szCs w:val="24"/>
          <w:rtl/>
        </w:rPr>
        <w:t>(נאמנויות), פתיחה וסגירה של תאגידים או שימוש במספר רב של תאגידים, העברת רכוש בין מדינות, תנועות סיבוביות, שימוש באנשי קש, שימוש בזירות וירטואליות</w:t>
      </w:r>
      <w:r w:rsidR="0065401A" w:rsidRPr="004E448C">
        <w:rPr>
          <w:rFonts w:cs="David" w:hint="cs"/>
          <w:sz w:val="24"/>
          <w:szCs w:val="24"/>
          <w:rtl/>
        </w:rPr>
        <w:t>,</w:t>
      </w:r>
      <w:r w:rsidR="009203CB" w:rsidRPr="004E448C">
        <w:rPr>
          <w:rFonts w:cs="David" w:hint="cs"/>
          <w:sz w:val="24"/>
          <w:szCs w:val="24"/>
          <w:rtl/>
        </w:rPr>
        <w:t xml:space="preserve"> בניית תוכניות מחשב מתוחכמות</w:t>
      </w:r>
      <w:r w:rsidR="00EC4234">
        <w:rPr>
          <w:rFonts w:cs="David" w:hint="cs"/>
          <w:sz w:val="24"/>
          <w:szCs w:val="24"/>
          <w:rtl/>
        </w:rPr>
        <w:t>, ופעולות נוספות כיוצא באלה</w:t>
      </w:r>
      <w:r w:rsidR="009203CB" w:rsidRPr="004E448C">
        <w:rPr>
          <w:rFonts w:cs="David" w:hint="cs"/>
          <w:sz w:val="24"/>
          <w:szCs w:val="24"/>
          <w:rtl/>
        </w:rPr>
        <w:t xml:space="preserve">.  </w:t>
      </w:r>
    </w:p>
    <w:p w14:paraId="50C8CCF8" w14:textId="6C1F39FD" w:rsidR="00EC6C69" w:rsidRDefault="009203CB" w:rsidP="00295EBD">
      <w:pPr>
        <w:keepLines/>
        <w:numPr>
          <w:ilvl w:val="0"/>
          <w:numId w:val="2"/>
        </w:numPr>
        <w:spacing w:after="160" w:line="360" w:lineRule="auto"/>
        <w:jc w:val="both"/>
        <w:rPr>
          <w:rFonts w:cs="David"/>
          <w:sz w:val="24"/>
          <w:szCs w:val="24"/>
        </w:rPr>
      </w:pPr>
      <w:r w:rsidRPr="00BB0C1C">
        <w:rPr>
          <w:rFonts w:cs="David" w:hint="cs"/>
          <w:sz w:val="24"/>
          <w:szCs w:val="24"/>
          <w:rtl/>
        </w:rPr>
        <w:t>לגבי התנאי של ביצוע עבירת הלבנת הון בידי מי שאינו האדם החייב במס</w:t>
      </w:r>
      <w:r w:rsidR="00EC6C69">
        <w:rPr>
          <w:rFonts w:cs="David" w:hint="cs"/>
          <w:sz w:val="24"/>
          <w:szCs w:val="24"/>
          <w:rtl/>
        </w:rPr>
        <w:t xml:space="preserve"> </w:t>
      </w:r>
      <w:r w:rsidR="00EC6C69">
        <w:rPr>
          <w:rFonts w:cs="David"/>
          <w:sz w:val="24"/>
          <w:szCs w:val="24"/>
          <w:rtl/>
        </w:rPr>
        <w:t>–</w:t>
      </w:r>
      <w:r w:rsidRPr="00BB0C1C">
        <w:rPr>
          <w:rFonts w:cs="David" w:hint="cs"/>
          <w:sz w:val="24"/>
          <w:szCs w:val="24"/>
          <w:rtl/>
        </w:rPr>
        <w:t xml:space="preserve"> </w:t>
      </w:r>
      <w:r w:rsidR="00EC6C69" w:rsidRPr="00BB0C1C">
        <w:rPr>
          <w:rFonts w:cs="David" w:hint="cs"/>
          <w:sz w:val="24"/>
          <w:szCs w:val="24"/>
          <w:rtl/>
        </w:rPr>
        <w:t xml:space="preserve">תנאי זה מכוון בעיקרו למצבים בהם הצד השלישי הוא </w:t>
      </w:r>
      <w:r w:rsidR="00295EBD">
        <w:rPr>
          <w:rFonts w:cs="David" w:hint="cs"/>
          <w:sz w:val="24"/>
          <w:szCs w:val="24"/>
          <w:rtl/>
        </w:rPr>
        <w:t xml:space="preserve">בעל מקצוע </w:t>
      </w:r>
      <w:r w:rsidR="00611857">
        <w:rPr>
          <w:rFonts w:cs="David" w:hint="cs"/>
          <w:sz w:val="24"/>
          <w:szCs w:val="24"/>
          <w:rtl/>
        </w:rPr>
        <w:t xml:space="preserve"> או נותן שירותי פיננסיים </w:t>
      </w:r>
      <w:r w:rsidR="00EC6C69" w:rsidRPr="00BB0C1C">
        <w:rPr>
          <w:rFonts w:cs="David" w:hint="cs"/>
          <w:sz w:val="24"/>
          <w:szCs w:val="24"/>
          <w:rtl/>
        </w:rPr>
        <w:t>שמבצע את עבירת הלבנת ההון עבור עבריין המס, כדוגמת עורך דין, רואה חשבון, נותן שירותי מטבע וכיוצא באלה.</w:t>
      </w:r>
      <w:r w:rsidR="00EC6C69">
        <w:rPr>
          <w:rFonts w:cs="David" w:hint="cs"/>
          <w:sz w:val="24"/>
          <w:szCs w:val="24"/>
          <w:rtl/>
        </w:rPr>
        <w:t xml:space="preserve"> </w:t>
      </w:r>
      <w:r w:rsidRPr="00BB0C1C">
        <w:rPr>
          <w:rFonts w:cs="David" w:hint="cs"/>
          <w:sz w:val="24"/>
          <w:szCs w:val="24"/>
          <w:rtl/>
        </w:rPr>
        <w:t xml:space="preserve">יובהר כי בתנאי זה יכללו מצבים בהם </w:t>
      </w:r>
      <w:r w:rsidRPr="00BB0C1C">
        <w:rPr>
          <w:rFonts w:cs="David" w:hint="cs"/>
          <w:b/>
          <w:bCs/>
          <w:sz w:val="24"/>
          <w:szCs w:val="24"/>
          <w:rtl/>
        </w:rPr>
        <w:t>עבירת הלבנת ההון</w:t>
      </w:r>
      <w:r w:rsidRPr="00BB0C1C">
        <w:rPr>
          <w:rFonts w:cs="David" w:hint="cs"/>
          <w:sz w:val="24"/>
          <w:szCs w:val="24"/>
          <w:rtl/>
        </w:rPr>
        <w:t xml:space="preserve"> בוצעה בידי צד ג', ולא כאשר אדם נוסף זולת העבריין היה שותף לעבירת המס, מבלי שביצע עבירות לפי חוק איסור הלבנת הון. כך למשל, תנאי זה אינו מתקיים כאשר בן זוגו של מעלים המס מסייע לו בהעלמת המס.</w:t>
      </w:r>
      <w:r w:rsidR="00C66A1F" w:rsidRPr="00BB0C1C">
        <w:rPr>
          <w:rFonts w:cs="David" w:hint="cs"/>
          <w:sz w:val="24"/>
          <w:szCs w:val="24"/>
          <w:rtl/>
        </w:rPr>
        <w:t xml:space="preserve"> </w:t>
      </w:r>
    </w:p>
    <w:p w14:paraId="426C276D" w14:textId="77777777" w:rsidR="00EA4CF6" w:rsidRDefault="00A500AE" w:rsidP="00EA4CF6">
      <w:pPr>
        <w:keepLines/>
        <w:numPr>
          <w:ilvl w:val="0"/>
          <w:numId w:val="2"/>
        </w:numPr>
        <w:spacing w:after="160" w:line="360" w:lineRule="auto"/>
        <w:jc w:val="both"/>
        <w:rPr>
          <w:rFonts w:cs="David"/>
          <w:sz w:val="24"/>
          <w:szCs w:val="24"/>
        </w:rPr>
      </w:pPr>
      <w:r w:rsidRPr="00A500AE">
        <w:rPr>
          <w:rFonts w:cs="David" w:hint="cs"/>
          <w:sz w:val="24"/>
          <w:szCs w:val="24"/>
          <w:rtl/>
        </w:rPr>
        <w:t>כאשר מדובר בהלבנה עצמית (</w:t>
      </w:r>
      <w:r w:rsidRPr="00A500AE">
        <w:rPr>
          <w:rFonts w:cs="David"/>
          <w:sz w:val="24"/>
          <w:szCs w:val="24"/>
        </w:rPr>
        <w:t>self-laundering</w:t>
      </w:r>
      <w:r w:rsidRPr="00A500AE">
        <w:rPr>
          <w:rFonts w:cs="David" w:hint="cs"/>
          <w:sz w:val="24"/>
          <w:szCs w:val="24"/>
          <w:rtl/>
        </w:rPr>
        <w:t xml:space="preserve">) של הכספים שהופקו כתוצאה מביצוע עבירות המס האמורות, הדרישה לקיומו של ערך מוגן נוסף ונפרד </w:t>
      </w:r>
      <w:r w:rsidR="00E01475">
        <w:rPr>
          <w:rFonts w:cs="David" w:hint="cs"/>
          <w:sz w:val="24"/>
          <w:szCs w:val="24"/>
          <w:rtl/>
        </w:rPr>
        <w:t xml:space="preserve">שקיימת לגבי כל עבירת מקור מתחדדת ומקבלת </w:t>
      </w:r>
      <w:r w:rsidRPr="00A500AE">
        <w:rPr>
          <w:rFonts w:cs="David" w:hint="cs"/>
          <w:sz w:val="24"/>
          <w:szCs w:val="24"/>
          <w:rtl/>
        </w:rPr>
        <w:t xml:space="preserve">משנה תוקף. הטעם לכך הוא, שבמקרים כאלה קיימת זהות רבה בין דפוסי העלמת המס לדפוסי הלבנת ההון, ועל כן, </w:t>
      </w:r>
      <w:r w:rsidR="00E01475">
        <w:rPr>
          <w:rFonts w:cs="David" w:hint="cs"/>
          <w:sz w:val="24"/>
          <w:szCs w:val="24"/>
          <w:rtl/>
        </w:rPr>
        <w:t xml:space="preserve">במקרים רבים </w:t>
      </w:r>
      <w:r w:rsidRPr="00A500AE">
        <w:rPr>
          <w:rFonts w:cs="David" w:hint="cs"/>
          <w:sz w:val="24"/>
          <w:szCs w:val="24"/>
          <w:rtl/>
        </w:rPr>
        <w:t xml:space="preserve">כלל לא תהיה פגיעה בערך מוגן נפרד או שהפגיעה תהיה מינימאלית, ולא </w:t>
      </w:r>
      <w:r w:rsidR="00E01475">
        <w:rPr>
          <w:rFonts w:cs="David" w:hint="cs"/>
          <w:sz w:val="24"/>
          <w:szCs w:val="24"/>
          <w:rtl/>
        </w:rPr>
        <w:t xml:space="preserve">בהכרח </w:t>
      </w:r>
      <w:r w:rsidRPr="00A500AE">
        <w:rPr>
          <w:rFonts w:cs="David" w:hint="cs"/>
          <w:sz w:val="24"/>
          <w:szCs w:val="24"/>
          <w:rtl/>
        </w:rPr>
        <w:t>תצדיק הוספת אישום נוסף הנוגע להלבנת כספים אלו.</w:t>
      </w:r>
    </w:p>
    <w:p w14:paraId="4A315890" w14:textId="77777777" w:rsidR="002B7DA2" w:rsidRPr="00EA4CF6" w:rsidRDefault="00A500AE" w:rsidP="00AF3F0F">
      <w:pPr>
        <w:keepLines/>
        <w:numPr>
          <w:ilvl w:val="0"/>
          <w:numId w:val="2"/>
        </w:numPr>
        <w:spacing w:after="160" w:line="360" w:lineRule="auto"/>
        <w:jc w:val="both"/>
        <w:rPr>
          <w:rFonts w:cs="David"/>
          <w:sz w:val="24"/>
          <w:szCs w:val="24"/>
        </w:rPr>
      </w:pPr>
      <w:r w:rsidRPr="00EA4CF6">
        <w:rPr>
          <w:rFonts w:cs="David" w:hint="cs"/>
          <w:sz w:val="24"/>
          <w:szCs w:val="24"/>
          <w:rtl/>
        </w:rPr>
        <w:t>בדומה ליתר עבירות המקור, גם לגבי עבירות המס האמורות</w:t>
      </w:r>
      <w:r w:rsidR="00F01D30" w:rsidRPr="00EA4CF6">
        <w:rPr>
          <w:rFonts w:cs="David" w:hint="cs"/>
          <w:sz w:val="24"/>
          <w:szCs w:val="24"/>
          <w:rtl/>
        </w:rPr>
        <w:t>,</w:t>
      </w:r>
      <w:r w:rsidR="002B7DA2" w:rsidRPr="00EA4CF6">
        <w:rPr>
          <w:rFonts w:cs="David" w:hint="cs"/>
          <w:sz w:val="24"/>
          <w:szCs w:val="24"/>
          <w:rtl/>
        </w:rPr>
        <w:t xml:space="preserve"> </w:t>
      </w:r>
      <w:r w:rsidR="00AF3F0F">
        <w:rPr>
          <w:rFonts w:cs="David" w:hint="cs"/>
          <w:sz w:val="24"/>
          <w:szCs w:val="24"/>
          <w:rtl/>
        </w:rPr>
        <w:t>כאשר ה</w:t>
      </w:r>
      <w:r w:rsidR="00F01D30" w:rsidRPr="00EA4CF6">
        <w:rPr>
          <w:rFonts w:cs="David" w:hint="cs"/>
          <w:sz w:val="24"/>
          <w:szCs w:val="24"/>
          <w:rtl/>
        </w:rPr>
        <w:t xml:space="preserve">"פעולה ברכוש" מתמצית </w:t>
      </w:r>
      <w:r w:rsidRPr="00EA4CF6">
        <w:rPr>
          <w:rFonts w:cs="David" w:hint="cs"/>
          <w:sz w:val="24"/>
          <w:szCs w:val="24"/>
          <w:rtl/>
        </w:rPr>
        <w:t>בהמשך החזקת הרכוש האסור</w:t>
      </w:r>
      <w:r w:rsidR="00F01D30" w:rsidRPr="00EA4CF6">
        <w:rPr>
          <w:rFonts w:cs="David" w:hint="cs"/>
          <w:sz w:val="24"/>
          <w:szCs w:val="24"/>
          <w:rtl/>
        </w:rPr>
        <w:t xml:space="preserve">, או </w:t>
      </w:r>
      <w:r w:rsidR="002B7DA2" w:rsidRPr="00EA4CF6">
        <w:rPr>
          <w:rFonts w:cs="David" w:hint="cs"/>
          <w:sz w:val="24"/>
          <w:szCs w:val="24"/>
          <w:rtl/>
        </w:rPr>
        <w:t xml:space="preserve">כאשר מטרתו של העבריין היא צריכה עצמית של הרכוש האסור ולא הסתרתו או הסוואתו כחלק מהחדרת פירות העבירה לתוך המערכת הפיננסית הלגיטימית </w:t>
      </w:r>
      <w:r w:rsidR="002B7DA2" w:rsidRPr="00EA4CF6">
        <w:rPr>
          <w:rFonts w:cs="David"/>
          <w:sz w:val="24"/>
          <w:szCs w:val="24"/>
          <w:rtl/>
        </w:rPr>
        <w:t>–</w:t>
      </w:r>
      <w:r w:rsidR="00F01D30" w:rsidRPr="00EA4CF6">
        <w:rPr>
          <w:rFonts w:cs="David" w:hint="cs"/>
          <w:sz w:val="24"/>
          <w:szCs w:val="24"/>
          <w:rtl/>
        </w:rPr>
        <w:t xml:space="preserve"> </w:t>
      </w:r>
      <w:r w:rsidR="002B7DA2" w:rsidRPr="00EA4CF6">
        <w:rPr>
          <w:rFonts w:cs="David" w:hint="cs"/>
          <w:sz w:val="24"/>
          <w:szCs w:val="24"/>
          <w:rtl/>
        </w:rPr>
        <w:t>לא מתגבש</w:t>
      </w:r>
      <w:r w:rsidR="00F01D30" w:rsidRPr="00EA4CF6">
        <w:rPr>
          <w:rFonts w:cs="David" w:hint="cs"/>
          <w:sz w:val="24"/>
          <w:szCs w:val="24"/>
          <w:rtl/>
        </w:rPr>
        <w:t xml:space="preserve">ים יסודות העבירה </w:t>
      </w:r>
      <w:r w:rsidR="002B7DA2" w:rsidRPr="00EA4CF6">
        <w:rPr>
          <w:rFonts w:cs="David" w:hint="cs"/>
          <w:sz w:val="24"/>
          <w:szCs w:val="24"/>
          <w:rtl/>
        </w:rPr>
        <w:t>הנדרש</w:t>
      </w:r>
      <w:r w:rsidR="00F01D30" w:rsidRPr="00EA4CF6">
        <w:rPr>
          <w:rFonts w:cs="David" w:hint="cs"/>
          <w:sz w:val="24"/>
          <w:szCs w:val="24"/>
          <w:rtl/>
        </w:rPr>
        <w:t>ים</w:t>
      </w:r>
      <w:r w:rsidR="002B7DA2" w:rsidRPr="00EA4CF6">
        <w:rPr>
          <w:rFonts w:cs="David" w:hint="cs"/>
          <w:sz w:val="24"/>
          <w:szCs w:val="24"/>
          <w:rtl/>
        </w:rPr>
        <w:t xml:space="preserve"> לצורך העמדה לדין בעבירות לפי סעיפים 3 ו-4 לחוק. </w:t>
      </w:r>
    </w:p>
    <w:p w14:paraId="621F6F97" w14:textId="77777777" w:rsidR="004D69D1" w:rsidRPr="00BE7844" w:rsidRDefault="004D69D1" w:rsidP="00390375">
      <w:pPr>
        <w:spacing w:after="160" w:line="360" w:lineRule="auto"/>
        <w:jc w:val="both"/>
        <w:rPr>
          <w:rFonts w:cs="David"/>
          <w:sz w:val="24"/>
          <w:szCs w:val="24"/>
        </w:rPr>
      </w:pPr>
    </w:p>
    <w:p w14:paraId="6B08E78B" w14:textId="77777777" w:rsidR="002400CD" w:rsidRPr="00BE7844" w:rsidRDefault="00871EF1" w:rsidP="00390375">
      <w:pPr>
        <w:spacing w:after="160" w:line="360" w:lineRule="auto"/>
        <w:jc w:val="both"/>
        <w:rPr>
          <w:rFonts w:cs="David"/>
          <w:b/>
          <w:bCs/>
          <w:sz w:val="24"/>
          <w:szCs w:val="24"/>
        </w:rPr>
      </w:pPr>
      <w:r w:rsidRPr="00BE7844">
        <w:rPr>
          <w:rFonts w:cs="David" w:hint="cs"/>
          <w:b/>
          <w:bCs/>
          <w:sz w:val="24"/>
          <w:szCs w:val="24"/>
          <w:rtl/>
        </w:rPr>
        <w:t xml:space="preserve">ה. </w:t>
      </w:r>
      <w:r w:rsidR="002400CD" w:rsidRPr="00BE7844">
        <w:rPr>
          <w:rFonts w:cs="David" w:hint="cs"/>
          <w:b/>
          <w:bCs/>
          <w:sz w:val="24"/>
          <w:szCs w:val="24"/>
          <w:rtl/>
        </w:rPr>
        <w:t>מדיניות התביעה בחילוט רכוש</w:t>
      </w:r>
    </w:p>
    <w:p w14:paraId="4FA7AAB8" w14:textId="77777777" w:rsidR="00A432DE" w:rsidRPr="00BE7844" w:rsidRDefault="00156185" w:rsidP="00156185">
      <w:pPr>
        <w:numPr>
          <w:ilvl w:val="0"/>
          <w:numId w:val="2"/>
        </w:numPr>
        <w:spacing w:after="160" w:line="360" w:lineRule="auto"/>
        <w:jc w:val="both"/>
        <w:rPr>
          <w:rFonts w:cs="David"/>
          <w:sz w:val="24"/>
          <w:szCs w:val="24"/>
        </w:rPr>
      </w:pPr>
      <w:r>
        <w:rPr>
          <w:rFonts w:cs="David" w:hint="cs"/>
          <w:sz w:val="24"/>
          <w:szCs w:val="24"/>
          <w:rtl/>
        </w:rPr>
        <w:t>סעיף 21 לחוק</w:t>
      </w:r>
      <w:r w:rsidR="002400CD" w:rsidRPr="00BE7844">
        <w:rPr>
          <w:rFonts w:cs="David" w:hint="cs"/>
          <w:sz w:val="24"/>
          <w:szCs w:val="24"/>
          <w:rtl/>
        </w:rPr>
        <w:t xml:space="preserve"> איסור הלבנת הון</w:t>
      </w:r>
      <w:r>
        <w:rPr>
          <w:rFonts w:cs="David" w:hint="cs"/>
          <w:sz w:val="24"/>
          <w:szCs w:val="24"/>
          <w:rtl/>
        </w:rPr>
        <w:t>,</w:t>
      </w:r>
      <w:r w:rsidR="002400CD" w:rsidRPr="00BE7844">
        <w:rPr>
          <w:rFonts w:cs="David" w:hint="cs"/>
          <w:sz w:val="24"/>
          <w:szCs w:val="24"/>
          <w:rtl/>
        </w:rPr>
        <w:t xml:space="preserve"> מאפשר לבקש את חילוט הרכוש של מלבין ההון בשווי רכוש </w:t>
      </w:r>
      <w:r w:rsidR="00A432DE" w:rsidRPr="00BE7844">
        <w:rPr>
          <w:rFonts w:cs="David" w:hint="cs"/>
          <w:sz w:val="24"/>
          <w:szCs w:val="24"/>
          <w:rtl/>
        </w:rPr>
        <w:t xml:space="preserve">שנעברה בו העבירה, רכוש </w:t>
      </w:r>
      <w:r w:rsidR="002400CD" w:rsidRPr="00BE7844">
        <w:rPr>
          <w:rFonts w:cs="David" w:hint="cs"/>
          <w:sz w:val="24"/>
          <w:szCs w:val="24"/>
          <w:rtl/>
        </w:rPr>
        <w:t xml:space="preserve">ששימש לביצוע העבירה, </w:t>
      </w:r>
      <w:r w:rsidR="00A432DE" w:rsidRPr="00BE7844">
        <w:rPr>
          <w:rFonts w:cs="David" w:hint="cs"/>
          <w:sz w:val="24"/>
          <w:szCs w:val="24"/>
          <w:rtl/>
        </w:rPr>
        <w:t>רכוש ש</w:t>
      </w:r>
      <w:r w:rsidR="002400CD" w:rsidRPr="00BE7844">
        <w:rPr>
          <w:rFonts w:cs="David" w:hint="cs"/>
          <w:sz w:val="24"/>
          <w:szCs w:val="24"/>
          <w:rtl/>
        </w:rPr>
        <w:t>איפשר את ביצוע העבירה, או שיועד לכך</w:t>
      </w:r>
      <w:r w:rsidR="00A432DE" w:rsidRPr="00BE7844">
        <w:rPr>
          <w:rFonts w:cs="David" w:hint="cs"/>
          <w:sz w:val="24"/>
          <w:szCs w:val="24"/>
          <w:rtl/>
        </w:rPr>
        <w:t>, וכן רכוש שהושג, במישרין או בעקיפין, כשכר העבירה או כתוצאה מביצוע העביר או שיועד לכך</w:t>
      </w:r>
      <w:r w:rsidR="009076FE" w:rsidRPr="00BE7844">
        <w:rPr>
          <w:rFonts w:cs="David" w:hint="cs"/>
          <w:sz w:val="24"/>
          <w:szCs w:val="24"/>
          <w:rtl/>
        </w:rPr>
        <w:t>.</w:t>
      </w:r>
      <w:r w:rsidR="00A432DE" w:rsidRPr="00BE7844">
        <w:rPr>
          <w:rFonts w:cs="David" w:hint="cs"/>
          <w:sz w:val="24"/>
          <w:rtl/>
        </w:rPr>
        <w:t xml:space="preserve"> </w:t>
      </w:r>
    </w:p>
    <w:p w14:paraId="6E4D2BFC" w14:textId="77777777" w:rsidR="00A432DE" w:rsidRPr="00BE7844" w:rsidRDefault="00A432DE" w:rsidP="002F1D39">
      <w:pPr>
        <w:numPr>
          <w:ilvl w:val="0"/>
          <w:numId w:val="2"/>
        </w:numPr>
        <w:spacing w:after="160" w:line="360" w:lineRule="auto"/>
        <w:jc w:val="both"/>
        <w:rPr>
          <w:rFonts w:cs="David"/>
          <w:sz w:val="28"/>
          <w:szCs w:val="28"/>
          <w:rtl/>
        </w:rPr>
      </w:pPr>
      <w:r w:rsidRPr="00BE7844">
        <w:rPr>
          <w:rFonts w:cs="David" w:hint="cs"/>
          <w:sz w:val="28"/>
          <w:szCs w:val="24"/>
          <w:rtl/>
        </w:rPr>
        <w:t>ככל שמדובר ברכוש שהוא בבחינת הרווחים או הפירות של עבירת המקור, הרי שהרציונאל של "להוציא את בלעו של הגזלן מפיו" מתקיים, ועל כן יש לבקש מבית המשפט את חילוטו.</w:t>
      </w:r>
    </w:p>
    <w:p w14:paraId="219D45E7" w14:textId="77777777" w:rsidR="00A432DE" w:rsidRPr="00A000E6" w:rsidRDefault="00A432DE" w:rsidP="007D3EE9">
      <w:pPr>
        <w:numPr>
          <w:ilvl w:val="0"/>
          <w:numId w:val="2"/>
        </w:numPr>
        <w:spacing w:after="160" w:line="360" w:lineRule="auto"/>
        <w:jc w:val="both"/>
        <w:rPr>
          <w:rFonts w:cs="David"/>
          <w:sz w:val="28"/>
          <w:szCs w:val="28"/>
          <w:rtl/>
        </w:rPr>
      </w:pPr>
      <w:r w:rsidRPr="00A000E6">
        <w:rPr>
          <w:rFonts w:cs="David" w:hint="cs"/>
          <w:sz w:val="28"/>
          <w:szCs w:val="24"/>
          <w:rtl/>
        </w:rPr>
        <w:t xml:space="preserve">לעומת זאת, כאשר מדובר ברכוש שהוא </w:t>
      </w:r>
      <w:r w:rsidRPr="00A000E6">
        <w:rPr>
          <w:rFonts w:cs="David" w:hint="cs"/>
          <w:sz w:val="24"/>
          <w:szCs w:val="24"/>
          <w:rtl/>
        </w:rPr>
        <w:t xml:space="preserve">רכוש שנעברה בו העבירה, רכוש ששימש לביצוע העבירה, רכוש שאיפשר את ביצוע העבירה, או שיועד לכך, לא תמיד מתקיים בו הרציונאל של </w:t>
      </w:r>
      <w:r w:rsidR="00876272" w:rsidRPr="00A000E6">
        <w:rPr>
          <w:rFonts w:cs="David" w:hint="cs"/>
          <w:sz w:val="24"/>
          <w:szCs w:val="24"/>
          <w:rtl/>
        </w:rPr>
        <w:t>"</w:t>
      </w:r>
      <w:r w:rsidRPr="00A000E6">
        <w:rPr>
          <w:rFonts w:cs="David" w:hint="cs"/>
          <w:sz w:val="24"/>
          <w:szCs w:val="24"/>
          <w:rtl/>
        </w:rPr>
        <w:t>הוצאת בלעו של הגזלן מפיו</w:t>
      </w:r>
      <w:r w:rsidR="00876272" w:rsidRPr="00A000E6">
        <w:rPr>
          <w:rFonts w:cs="David" w:hint="cs"/>
          <w:sz w:val="24"/>
          <w:szCs w:val="24"/>
          <w:rtl/>
        </w:rPr>
        <w:t>"</w:t>
      </w:r>
      <w:r w:rsidRPr="00A000E6">
        <w:rPr>
          <w:rFonts w:cs="David" w:hint="cs"/>
          <w:sz w:val="24"/>
          <w:szCs w:val="24"/>
          <w:rtl/>
        </w:rPr>
        <w:t xml:space="preserve">, </w:t>
      </w:r>
      <w:r w:rsidR="00876272" w:rsidRPr="00A000E6">
        <w:rPr>
          <w:rFonts w:cs="David" w:hint="cs"/>
          <w:sz w:val="24"/>
          <w:szCs w:val="24"/>
          <w:rtl/>
        </w:rPr>
        <w:t xml:space="preserve">ועל כן </w:t>
      </w:r>
      <w:r w:rsidRPr="00A000E6">
        <w:rPr>
          <w:rFonts w:cs="David" w:hint="cs"/>
          <w:sz w:val="28"/>
          <w:szCs w:val="24"/>
          <w:rtl/>
        </w:rPr>
        <w:t>יש מקום לשקול</w:t>
      </w:r>
      <w:r w:rsidR="00B42B88" w:rsidRPr="00A000E6">
        <w:rPr>
          <w:rFonts w:cs="David" w:hint="cs"/>
          <w:sz w:val="28"/>
          <w:szCs w:val="24"/>
          <w:rtl/>
        </w:rPr>
        <w:t>, בהתאם לנסיבות המקרה,</w:t>
      </w:r>
      <w:r w:rsidRPr="00A000E6">
        <w:rPr>
          <w:rFonts w:cs="David" w:hint="cs"/>
          <w:sz w:val="28"/>
          <w:szCs w:val="24"/>
          <w:rtl/>
        </w:rPr>
        <w:t xml:space="preserve"> האם</w:t>
      </w:r>
      <w:r w:rsidR="00C950A0" w:rsidRPr="00A000E6">
        <w:rPr>
          <w:rFonts w:cs="David" w:hint="cs"/>
          <w:sz w:val="28"/>
          <w:szCs w:val="24"/>
          <w:rtl/>
        </w:rPr>
        <w:t xml:space="preserve"> קיימת הצדקה</w:t>
      </w:r>
      <w:r w:rsidRPr="00A000E6">
        <w:rPr>
          <w:rFonts w:cs="David" w:hint="cs"/>
          <w:sz w:val="28"/>
          <w:szCs w:val="24"/>
          <w:rtl/>
        </w:rPr>
        <w:t xml:space="preserve"> לבקש מבית המשפט את חילוט הרכוש</w:t>
      </w:r>
      <w:r w:rsidR="00B42B88" w:rsidRPr="00A000E6">
        <w:rPr>
          <w:rFonts w:cs="David" w:hint="cs"/>
          <w:sz w:val="28"/>
          <w:szCs w:val="24"/>
          <w:rtl/>
        </w:rPr>
        <w:t xml:space="preserve">. </w:t>
      </w:r>
      <w:r w:rsidR="00A000E6" w:rsidRPr="00A000E6">
        <w:rPr>
          <w:rFonts w:cs="David" w:hint="cs"/>
          <w:sz w:val="28"/>
          <w:szCs w:val="24"/>
          <w:rtl/>
        </w:rPr>
        <w:t xml:space="preserve">שאלת ההצדקה מקבלת משנה תוקף במקרה שבו מדובר לא על חילוט הרכוש עצמו, אלא על חילוט רכוש אחר בשווי הרכוש האסור. </w:t>
      </w:r>
      <w:r w:rsidR="00B42B88" w:rsidRPr="00A000E6">
        <w:rPr>
          <w:rFonts w:cs="David" w:hint="cs"/>
          <w:sz w:val="28"/>
          <w:szCs w:val="24"/>
          <w:rtl/>
        </w:rPr>
        <w:t xml:space="preserve">ההחלטה האם לבקש את חילוט הרכוש, תתקבל </w:t>
      </w:r>
      <w:r w:rsidRPr="00A000E6">
        <w:rPr>
          <w:rFonts w:cs="David" w:hint="cs"/>
          <w:sz w:val="28"/>
          <w:szCs w:val="24"/>
          <w:rtl/>
        </w:rPr>
        <w:t xml:space="preserve">בהתחשב בקווים המנחים הבאים: עוצמת הקשר שבין הרכוש לבין העבירה; מידת הפגיעה בערך המוגן הנוסף; החשש שהרכוש ישמש לביצוע עבירות נוספות; היחס שבין הרכוש שהוא רווחי העבירה לבין הרכוש האמור; זיקה של הרכוש האמור לארגוני פשיעה ולארגוני טרור.   </w:t>
      </w:r>
    </w:p>
    <w:p w14:paraId="298F835D" w14:textId="77777777" w:rsidR="000137B5" w:rsidRPr="00BE7844" w:rsidRDefault="00B42B88" w:rsidP="00B42B88">
      <w:pPr>
        <w:numPr>
          <w:ilvl w:val="0"/>
          <w:numId w:val="2"/>
        </w:numPr>
        <w:spacing w:after="160" w:line="360" w:lineRule="auto"/>
        <w:jc w:val="both"/>
        <w:rPr>
          <w:rFonts w:cs="David"/>
          <w:sz w:val="24"/>
          <w:szCs w:val="24"/>
        </w:rPr>
      </w:pPr>
      <w:r>
        <w:rPr>
          <w:rFonts w:cs="David" w:hint="cs"/>
          <w:sz w:val="24"/>
          <w:szCs w:val="24"/>
          <w:rtl/>
        </w:rPr>
        <w:t>ה</w:t>
      </w:r>
      <w:r w:rsidR="00876272" w:rsidRPr="00BE7844">
        <w:rPr>
          <w:rFonts w:cs="David" w:hint="cs"/>
          <w:sz w:val="24"/>
          <w:szCs w:val="24"/>
          <w:rtl/>
        </w:rPr>
        <w:t>מטר</w:t>
      </w:r>
      <w:r>
        <w:rPr>
          <w:rFonts w:cs="David" w:hint="cs"/>
          <w:sz w:val="24"/>
          <w:szCs w:val="24"/>
          <w:rtl/>
        </w:rPr>
        <w:t>ה של</w:t>
      </w:r>
      <w:r w:rsidR="00876272" w:rsidRPr="00BE7844">
        <w:rPr>
          <w:rFonts w:cs="David" w:hint="cs"/>
          <w:sz w:val="24"/>
          <w:szCs w:val="24"/>
          <w:rtl/>
        </w:rPr>
        <w:t xml:space="preserve"> </w:t>
      </w:r>
      <w:r w:rsidR="002400CD" w:rsidRPr="00BE7844">
        <w:rPr>
          <w:rFonts w:cs="David" w:hint="cs"/>
          <w:sz w:val="24"/>
          <w:szCs w:val="24"/>
          <w:rtl/>
        </w:rPr>
        <w:t xml:space="preserve">תפיסה זמנית של רכוש </w:t>
      </w:r>
      <w:r w:rsidR="00876272" w:rsidRPr="00BE7844">
        <w:rPr>
          <w:rFonts w:cs="David" w:hint="cs"/>
          <w:sz w:val="24"/>
          <w:szCs w:val="24"/>
          <w:rtl/>
        </w:rPr>
        <w:t>אסור</w:t>
      </w:r>
      <w:r>
        <w:rPr>
          <w:rFonts w:cs="David" w:hint="cs"/>
          <w:sz w:val="24"/>
          <w:szCs w:val="24"/>
          <w:rtl/>
        </w:rPr>
        <w:t>,</w:t>
      </w:r>
      <w:r w:rsidR="00876272" w:rsidRPr="00BE7844">
        <w:rPr>
          <w:rFonts w:cs="David" w:hint="cs"/>
          <w:sz w:val="24"/>
          <w:szCs w:val="24"/>
          <w:rtl/>
        </w:rPr>
        <w:t xml:space="preserve"> היא לאפשר את חילוט הרכוש האסור בסוף ההליך, במקרה של הרשעה. נוכח </w:t>
      </w:r>
      <w:r w:rsidR="000137B5" w:rsidRPr="00BE7844">
        <w:rPr>
          <w:rFonts w:cs="David" w:hint="cs"/>
          <w:sz w:val="24"/>
          <w:szCs w:val="24"/>
          <w:rtl/>
        </w:rPr>
        <w:t>הפגיעה בזכות הקניין של החשוד /</w:t>
      </w:r>
      <w:r w:rsidR="00F66CFC" w:rsidRPr="00BE7844">
        <w:rPr>
          <w:rFonts w:cs="David" w:hint="cs"/>
          <w:sz w:val="24"/>
          <w:szCs w:val="24"/>
          <w:rtl/>
        </w:rPr>
        <w:t xml:space="preserve"> </w:t>
      </w:r>
      <w:r w:rsidR="000137B5" w:rsidRPr="00BE7844">
        <w:rPr>
          <w:rFonts w:cs="David" w:hint="cs"/>
          <w:sz w:val="24"/>
          <w:szCs w:val="24"/>
          <w:rtl/>
        </w:rPr>
        <w:t>נאשם ו</w:t>
      </w:r>
      <w:r w:rsidR="00876272" w:rsidRPr="00BE7844">
        <w:rPr>
          <w:rFonts w:cs="David" w:hint="cs"/>
          <w:sz w:val="24"/>
          <w:szCs w:val="24"/>
          <w:rtl/>
        </w:rPr>
        <w:t xml:space="preserve">ההשלכות המשמעותיות שעלולות להיות לתפיסה </w:t>
      </w:r>
      <w:r>
        <w:rPr>
          <w:rFonts w:cs="David" w:hint="cs"/>
          <w:sz w:val="24"/>
          <w:szCs w:val="24"/>
          <w:rtl/>
        </w:rPr>
        <w:t>ה</w:t>
      </w:r>
      <w:r w:rsidR="00876272" w:rsidRPr="00BE7844">
        <w:rPr>
          <w:rFonts w:cs="David" w:hint="cs"/>
          <w:sz w:val="24"/>
          <w:szCs w:val="24"/>
          <w:rtl/>
        </w:rPr>
        <w:t xml:space="preserve">זמנית של </w:t>
      </w:r>
      <w:r>
        <w:rPr>
          <w:rFonts w:cs="David" w:hint="cs"/>
          <w:sz w:val="24"/>
          <w:szCs w:val="24"/>
          <w:rtl/>
        </w:rPr>
        <w:t>ה</w:t>
      </w:r>
      <w:r w:rsidR="00876272" w:rsidRPr="00BE7844">
        <w:rPr>
          <w:rFonts w:cs="David" w:hint="cs"/>
          <w:sz w:val="24"/>
          <w:szCs w:val="24"/>
          <w:rtl/>
        </w:rPr>
        <w:t xml:space="preserve">רכוש על חשוד / נאשם, יש לוודא כי תפיסה זמנית של רכוש תיעשה בצורה מידתית. כך, נדרשת תשומת לב לכך שהתפיסה הזמנית של הרכוש לא תפגע, ככל הניתן, ביכולתו של החשוד / נאשם לנהל את חייו ועסקיו באופן שוטף. </w:t>
      </w:r>
      <w:r w:rsidR="000137B5" w:rsidRPr="00BE7844">
        <w:rPr>
          <w:rFonts w:cs="David" w:hint="cs"/>
          <w:sz w:val="24"/>
          <w:szCs w:val="24"/>
          <w:rtl/>
        </w:rPr>
        <w:t>דרישת ה</w:t>
      </w:r>
      <w:r w:rsidR="00876272" w:rsidRPr="00BE7844">
        <w:rPr>
          <w:rFonts w:cs="David" w:hint="cs"/>
          <w:sz w:val="24"/>
          <w:szCs w:val="24"/>
          <w:rtl/>
        </w:rPr>
        <w:t xml:space="preserve">מידתיות מקבלת משנה תוקף כאשר </w:t>
      </w:r>
      <w:r w:rsidR="000137B5" w:rsidRPr="00BE7844">
        <w:rPr>
          <w:rFonts w:cs="David" w:hint="cs"/>
          <w:sz w:val="24"/>
          <w:szCs w:val="24"/>
          <w:rtl/>
        </w:rPr>
        <w:t>החשד הוא לביצוען של עבירות מס כעבירות מקו</w:t>
      </w:r>
      <w:r>
        <w:rPr>
          <w:rFonts w:cs="David" w:hint="cs"/>
          <w:sz w:val="24"/>
          <w:szCs w:val="24"/>
          <w:rtl/>
        </w:rPr>
        <w:t>ר</w:t>
      </w:r>
      <w:r w:rsidR="000137B5" w:rsidRPr="00BE7844">
        <w:rPr>
          <w:rFonts w:cs="David" w:hint="cs"/>
          <w:sz w:val="24"/>
          <w:szCs w:val="24"/>
          <w:rtl/>
        </w:rPr>
        <w:t>. זאת, נוכח העובדה שהרכוש שנחשד להיות "רכוש אסור"</w:t>
      </w:r>
      <w:r>
        <w:rPr>
          <w:rFonts w:cs="David" w:hint="cs"/>
          <w:sz w:val="24"/>
          <w:szCs w:val="24"/>
          <w:rtl/>
        </w:rPr>
        <w:t>, יהיה, במרבית המקרים,</w:t>
      </w:r>
      <w:r w:rsidR="000137B5" w:rsidRPr="00BE7844">
        <w:rPr>
          <w:rFonts w:cs="David" w:hint="cs"/>
          <w:sz w:val="24"/>
          <w:szCs w:val="24"/>
          <w:rtl/>
        </w:rPr>
        <w:t xml:space="preserve"> קשור באופן ישיר לעסקו של החשוד / נאשם, ותפיסתו הזמנית עלולה להשבית את עסק</w:t>
      </w:r>
      <w:r>
        <w:rPr>
          <w:rFonts w:cs="David" w:hint="cs"/>
          <w:sz w:val="24"/>
          <w:szCs w:val="24"/>
          <w:rtl/>
        </w:rPr>
        <w:t>ו</w:t>
      </w:r>
      <w:r w:rsidR="000137B5" w:rsidRPr="00BE7844">
        <w:rPr>
          <w:rFonts w:cs="David" w:hint="cs"/>
          <w:sz w:val="24"/>
          <w:szCs w:val="24"/>
          <w:rtl/>
        </w:rPr>
        <w:t xml:space="preserve"> באופן מוחלט</w:t>
      </w:r>
      <w:r>
        <w:rPr>
          <w:rFonts w:cs="David" w:hint="cs"/>
          <w:sz w:val="24"/>
          <w:szCs w:val="24"/>
          <w:rtl/>
        </w:rPr>
        <w:t xml:space="preserve"> בתקופת הביניים של ההליכים הפליליים</w:t>
      </w:r>
      <w:r w:rsidR="000137B5" w:rsidRPr="00BE7844">
        <w:rPr>
          <w:rFonts w:cs="David" w:hint="cs"/>
          <w:sz w:val="24"/>
          <w:szCs w:val="24"/>
          <w:rtl/>
        </w:rPr>
        <w:t>.</w:t>
      </w:r>
    </w:p>
    <w:p w14:paraId="01AF5577" w14:textId="77777777" w:rsidR="00876272" w:rsidRPr="00BE7844" w:rsidRDefault="00876272" w:rsidP="00E11511">
      <w:pPr>
        <w:numPr>
          <w:ilvl w:val="0"/>
          <w:numId w:val="2"/>
        </w:numPr>
        <w:spacing w:after="160" w:line="360" w:lineRule="auto"/>
        <w:jc w:val="both"/>
        <w:rPr>
          <w:rFonts w:cs="David"/>
          <w:sz w:val="24"/>
          <w:szCs w:val="24"/>
        </w:rPr>
      </w:pPr>
      <w:r w:rsidRPr="00BE7844">
        <w:rPr>
          <w:rFonts w:cs="David" w:hint="cs"/>
          <w:sz w:val="24"/>
          <w:szCs w:val="24"/>
          <w:rtl/>
        </w:rPr>
        <w:t>כמו כן, יש ל</w:t>
      </w:r>
      <w:r w:rsidR="000137B5" w:rsidRPr="00BE7844">
        <w:rPr>
          <w:rFonts w:cs="David" w:hint="cs"/>
          <w:sz w:val="24"/>
          <w:szCs w:val="24"/>
          <w:rtl/>
        </w:rPr>
        <w:t>נסות ול</w:t>
      </w:r>
      <w:r w:rsidRPr="00BE7844">
        <w:rPr>
          <w:rFonts w:cs="David" w:hint="cs"/>
          <w:sz w:val="24"/>
          <w:szCs w:val="24"/>
          <w:rtl/>
        </w:rPr>
        <w:t xml:space="preserve">וודא כי </w:t>
      </w:r>
      <w:r w:rsidR="000137B5" w:rsidRPr="00BE7844">
        <w:rPr>
          <w:rFonts w:cs="David" w:hint="cs"/>
          <w:sz w:val="24"/>
          <w:szCs w:val="24"/>
          <w:rtl/>
        </w:rPr>
        <w:t xml:space="preserve">הקפאת נכסיו של החשוד / נאשם לתקופה מתמשכת אינה </w:t>
      </w:r>
      <w:r w:rsidR="00D152B6" w:rsidRPr="00BE7844">
        <w:rPr>
          <w:rFonts w:cs="David" w:hint="cs"/>
          <w:sz w:val="24"/>
          <w:szCs w:val="24"/>
          <w:rtl/>
        </w:rPr>
        <w:t xml:space="preserve">גורמת </w:t>
      </w:r>
      <w:r w:rsidR="000137B5" w:rsidRPr="00BE7844">
        <w:rPr>
          <w:rFonts w:cs="David" w:hint="cs"/>
          <w:sz w:val="24"/>
          <w:szCs w:val="24"/>
          <w:rtl/>
        </w:rPr>
        <w:t>להפעלה של לחץ לא מידתי על החשוד / נאשם</w:t>
      </w:r>
      <w:r w:rsidR="00D152B6" w:rsidRPr="00BE7844">
        <w:rPr>
          <w:rFonts w:cs="David" w:hint="cs"/>
          <w:sz w:val="24"/>
          <w:szCs w:val="24"/>
          <w:rtl/>
        </w:rPr>
        <w:t>.</w:t>
      </w:r>
      <w:r w:rsidR="000137B5" w:rsidRPr="00BE7844">
        <w:rPr>
          <w:rFonts w:cs="David" w:hint="cs"/>
          <w:sz w:val="24"/>
          <w:szCs w:val="24"/>
          <w:rtl/>
        </w:rPr>
        <w:t xml:space="preserve"> </w:t>
      </w:r>
    </w:p>
    <w:p w14:paraId="3E6E5F11" w14:textId="77777777" w:rsidR="002400CD" w:rsidRPr="00BE7844" w:rsidRDefault="00D152B6" w:rsidP="00C3722A">
      <w:pPr>
        <w:numPr>
          <w:ilvl w:val="0"/>
          <w:numId w:val="2"/>
        </w:numPr>
        <w:spacing w:after="160" w:line="360" w:lineRule="auto"/>
        <w:jc w:val="both"/>
        <w:rPr>
          <w:rFonts w:cs="David"/>
          <w:sz w:val="24"/>
          <w:szCs w:val="24"/>
        </w:rPr>
      </w:pPr>
      <w:r w:rsidRPr="00BE7844">
        <w:rPr>
          <w:rFonts w:cs="David" w:hint="cs"/>
          <w:sz w:val="24"/>
          <w:szCs w:val="24"/>
          <w:rtl/>
        </w:rPr>
        <w:t>כדי להבטי</w:t>
      </w:r>
      <w:r w:rsidR="00F66CFC" w:rsidRPr="00BE7844">
        <w:rPr>
          <w:rFonts w:cs="David" w:hint="cs"/>
          <w:sz w:val="24"/>
          <w:szCs w:val="24"/>
          <w:rtl/>
        </w:rPr>
        <w:t>ח</w:t>
      </w:r>
      <w:r w:rsidRPr="00BE7844">
        <w:rPr>
          <w:rFonts w:cs="David" w:hint="cs"/>
          <w:sz w:val="24"/>
          <w:szCs w:val="24"/>
          <w:rtl/>
        </w:rPr>
        <w:t xml:space="preserve"> כי </w:t>
      </w:r>
      <w:r w:rsidR="00876272" w:rsidRPr="00BE7844">
        <w:rPr>
          <w:rFonts w:cs="David" w:hint="cs"/>
          <w:sz w:val="24"/>
          <w:szCs w:val="24"/>
          <w:rtl/>
        </w:rPr>
        <w:t xml:space="preserve">תפיסה זמנית של רכוש </w:t>
      </w:r>
      <w:r w:rsidRPr="00BE7844">
        <w:rPr>
          <w:rFonts w:cs="David" w:hint="cs"/>
          <w:sz w:val="24"/>
          <w:szCs w:val="24"/>
          <w:rtl/>
        </w:rPr>
        <w:t>תיעשה בצורה מידתית, תפי</w:t>
      </w:r>
      <w:r w:rsidR="00F66CFC" w:rsidRPr="00BE7844">
        <w:rPr>
          <w:rFonts w:cs="David" w:hint="cs"/>
          <w:sz w:val="24"/>
          <w:szCs w:val="24"/>
          <w:rtl/>
        </w:rPr>
        <w:t>ס</w:t>
      </w:r>
      <w:r w:rsidRPr="00BE7844">
        <w:rPr>
          <w:rFonts w:cs="David" w:hint="cs"/>
          <w:sz w:val="24"/>
          <w:szCs w:val="24"/>
          <w:rtl/>
        </w:rPr>
        <w:t xml:space="preserve">ה שכזאת </w:t>
      </w:r>
      <w:r w:rsidR="002400CD" w:rsidRPr="00BE7844">
        <w:rPr>
          <w:rFonts w:cs="David" w:hint="cs"/>
          <w:sz w:val="24"/>
          <w:szCs w:val="24"/>
          <w:rtl/>
        </w:rPr>
        <w:t>דורשת אישור של פרקליט המחוז.</w:t>
      </w:r>
      <w:r w:rsidR="00876272" w:rsidRPr="00BE7844">
        <w:rPr>
          <w:rFonts w:cs="David" w:hint="cs"/>
          <w:sz w:val="24"/>
          <w:szCs w:val="24"/>
          <w:rtl/>
        </w:rPr>
        <w:t xml:space="preserve"> </w:t>
      </w:r>
    </w:p>
    <w:p w14:paraId="2B41E8CB" w14:textId="77777777" w:rsidR="002400CD" w:rsidRPr="00EF172B" w:rsidRDefault="00701389" w:rsidP="005E250A">
      <w:pPr>
        <w:numPr>
          <w:ilvl w:val="0"/>
          <w:numId w:val="2"/>
        </w:numPr>
        <w:spacing w:after="160" w:line="360" w:lineRule="auto"/>
        <w:jc w:val="both"/>
        <w:rPr>
          <w:rFonts w:cs="David"/>
          <w:sz w:val="24"/>
          <w:szCs w:val="24"/>
        </w:rPr>
      </w:pPr>
      <w:r w:rsidRPr="00BE7844">
        <w:rPr>
          <w:rFonts w:cs="David" w:hint="cs"/>
          <w:sz w:val="24"/>
          <w:szCs w:val="24"/>
          <w:rtl/>
        </w:rPr>
        <w:t xml:space="preserve">במקרים בהם עורבב הרכוש שמקורו בעבירה ברכוש לגיטימי אחר הופך גם הרכוש הלגיטימי לרכוש אסור בר חילוט לפי סעיף 21 (ע"א 6212/14 </w:t>
      </w:r>
      <w:r w:rsidRPr="00BE7844">
        <w:rPr>
          <w:rFonts w:cs="David" w:hint="cs"/>
          <w:i/>
          <w:iCs/>
          <w:sz w:val="24"/>
          <w:szCs w:val="24"/>
          <w:rtl/>
        </w:rPr>
        <w:t>מדינת ישראל נ' ג'סארי</w:t>
      </w:r>
      <w:r w:rsidRPr="00BE7844">
        <w:rPr>
          <w:rFonts w:cs="David" w:hint="cs"/>
          <w:sz w:val="24"/>
          <w:szCs w:val="24"/>
          <w:rtl/>
        </w:rPr>
        <w:t xml:space="preserve">, ע"פ 2333/07 </w:t>
      </w:r>
      <w:r w:rsidRPr="00BE7844">
        <w:rPr>
          <w:rFonts w:cs="David" w:hint="cs"/>
          <w:i/>
          <w:iCs/>
          <w:sz w:val="24"/>
          <w:szCs w:val="24"/>
          <w:rtl/>
        </w:rPr>
        <w:t>תענך</w:t>
      </w:r>
      <w:r w:rsidRPr="00BE7844">
        <w:rPr>
          <w:rFonts w:cs="David" w:hint="cs"/>
          <w:sz w:val="24"/>
          <w:szCs w:val="24"/>
          <w:rtl/>
        </w:rPr>
        <w:t xml:space="preserve">). מובן כי סמכות זו צריכה להיעשות במידתיות בהתחשב בקווים המנחים </w:t>
      </w:r>
      <w:r w:rsidRPr="00EF172B">
        <w:rPr>
          <w:rFonts w:cs="David" w:hint="cs"/>
          <w:sz w:val="24"/>
          <w:szCs w:val="24"/>
          <w:rtl/>
        </w:rPr>
        <w:lastRenderedPageBreak/>
        <w:t xml:space="preserve">הבאים: חלקו היחסי של הרכוש האסור ברכוש הלגיטימי, מידת הפגיעה בערך המוגן הנוסף, שיטתיות, תחכום או מורכבות ההסתרה, החשש שהרכוש ישמש להמשך ביצוע עבירות (מניעה מצבית), זיקה לארגוני פשיעה ולארגוני טרור. </w:t>
      </w:r>
    </w:p>
    <w:p w14:paraId="1A8C8785" w14:textId="77777777" w:rsidR="00805A83" w:rsidRPr="00EF172B" w:rsidRDefault="00805A83" w:rsidP="005E250A">
      <w:pPr>
        <w:pStyle w:val="a3"/>
        <w:numPr>
          <w:ilvl w:val="0"/>
          <w:numId w:val="2"/>
        </w:numPr>
        <w:spacing w:after="160" w:line="360" w:lineRule="auto"/>
        <w:jc w:val="both"/>
        <w:rPr>
          <w:rFonts w:cs="David"/>
          <w:sz w:val="24"/>
          <w:szCs w:val="24"/>
        </w:rPr>
      </w:pPr>
      <w:r w:rsidRPr="00FA6AC9">
        <w:rPr>
          <w:rFonts w:cs="David" w:hint="cs"/>
          <w:sz w:val="24"/>
          <w:szCs w:val="24"/>
          <w:rtl/>
        </w:rPr>
        <w:t xml:space="preserve"> כך למשל, כאשר מדובר ברכוש אסור שעורבב בעסק הפועל באופן חוקי, אשר מקורותיו אינם נובעים מכספי עבירות, ובעסק מעורבים צדדים שלישיים שאינם קשורים לעבירות, </w:t>
      </w:r>
      <w:r w:rsidR="005E250A">
        <w:rPr>
          <w:rFonts w:cs="David" w:hint="cs"/>
          <w:sz w:val="24"/>
          <w:szCs w:val="24"/>
          <w:rtl/>
        </w:rPr>
        <w:t>אין לבקש</w:t>
      </w:r>
      <w:r w:rsidRPr="00FA6AC9">
        <w:rPr>
          <w:rFonts w:cs="David" w:hint="cs"/>
          <w:sz w:val="24"/>
          <w:szCs w:val="24"/>
          <w:rtl/>
        </w:rPr>
        <w:t xml:space="preserve"> צו חילוט זמני שיהיה בו כדי לשבש באופן מהותי את פעילותו של העסק, והמדינה תסתפק במצב כזה בהטלת שיעבוד ומתן ערבויות מתאימות, לרבות ערבויות אישיות, שיינתנו להבטחת החילוט הסופי היה וייקבע בסוף ההליך על ידי בית המשפט.</w:t>
      </w:r>
      <w:r w:rsidR="00FA6AC9">
        <w:rPr>
          <w:rFonts w:cs="David" w:hint="cs"/>
          <w:sz w:val="24"/>
          <w:szCs w:val="24"/>
          <w:rtl/>
        </w:rPr>
        <w:t xml:space="preserve"> </w:t>
      </w:r>
    </w:p>
    <w:sectPr w:rsidR="00805A83" w:rsidRPr="00EF172B" w:rsidSect="00BC3034">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51FE6" w14:textId="77777777" w:rsidR="00E104AF" w:rsidRDefault="00E104AF">
      <w:pPr>
        <w:spacing w:after="0" w:line="240" w:lineRule="auto"/>
      </w:pPr>
      <w:r>
        <w:separator/>
      </w:r>
    </w:p>
  </w:endnote>
  <w:endnote w:type="continuationSeparator" w:id="0">
    <w:p w14:paraId="55CC4A5B" w14:textId="77777777" w:rsidR="00E104AF" w:rsidRDefault="00E1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01803743"/>
      <w:docPartObj>
        <w:docPartGallery w:val="Page Numbers (Bottom of Page)"/>
        <w:docPartUnique/>
      </w:docPartObj>
    </w:sdtPr>
    <w:sdtEndPr>
      <w:rPr>
        <w:cs/>
      </w:rPr>
    </w:sdtEndPr>
    <w:sdtContent>
      <w:p w14:paraId="64B4CFD3" w14:textId="77777777" w:rsidR="005F4588" w:rsidRDefault="005F4588">
        <w:pPr>
          <w:pStyle w:val="a9"/>
          <w:jc w:val="center"/>
          <w:rPr>
            <w:rtl/>
            <w:cs/>
          </w:rPr>
        </w:pPr>
        <w:r w:rsidRPr="005F4588">
          <w:rPr>
            <w:sz w:val="16"/>
            <w:szCs w:val="16"/>
          </w:rPr>
          <w:fldChar w:fldCharType="begin"/>
        </w:r>
        <w:r w:rsidRPr="005F4588">
          <w:rPr>
            <w:sz w:val="16"/>
            <w:szCs w:val="16"/>
            <w:rtl/>
            <w:cs/>
          </w:rPr>
          <w:instrText>PAGE   \* MERGEFORMAT</w:instrText>
        </w:r>
        <w:r w:rsidRPr="005F4588">
          <w:rPr>
            <w:sz w:val="16"/>
            <w:szCs w:val="16"/>
          </w:rPr>
          <w:fldChar w:fldCharType="separate"/>
        </w:r>
        <w:r w:rsidR="00B957B6" w:rsidRPr="00B957B6">
          <w:rPr>
            <w:noProof/>
            <w:sz w:val="16"/>
            <w:szCs w:val="16"/>
            <w:rtl/>
            <w:lang w:val="he-IL"/>
          </w:rPr>
          <w:t>1</w:t>
        </w:r>
        <w:r w:rsidRPr="005F4588">
          <w:rPr>
            <w:sz w:val="16"/>
            <w:szCs w:val="16"/>
          </w:rPr>
          <w:fldChar w:fldCharType="end"/>
        </w:r>
      </w:p>
    </w:sdtContent>
  </w:sdt>
  <w:p w14:paraId="0795B430" w14:textId="77777777" w:rsidR="00175A66" w:rsidRDefault="00175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7AA22" w14:textId="77777777" w:rsidR="00E104AF" w:rsidRDefault="00E104AF">
      <w:pPr>
        <w:spacing w:after="0" w:line="240" w:lineRule="auto"/>
      </w:pPr>
      <w:r>
        <w:separator/>
      </w:r>
    </w:p>
  </w:footnote>
  <w:footnote w:type="continuationSeparator" w:id="0">
    <w:p w14:paraId="0E85559B" w14:textId="77777777" w:rsidR="00E104AF" w:rsidRDefault="00E1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6905" w14:textId="77777777" w:rsidR="00175A66" w:rsidRDefault="00B957B6">
    <w:pPr>
      <w:pStyle w:val="a7"/>
    </w:pPr>
    <w:r>
      <w:pict w14:anchorId="29825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6B51"/>
    <w:multiLevelType w:val="hybridMultilevel"/>
    <w:tmpl w:val="3BB60DAE"/>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12BD"/>
    <w:multiLevelType w:val="hybridMultilevel"/>
    <w:tmpl w:val="AE32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F2C03"/>
    <w:multiLevelType w:val="hybridMultilevel"/>
    <w:tmpl w:val="F2D68912"/>
    <w:lvl w:ilvl="0" w:tplc="B5DE78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90C53"/>
    <w:multiLevelType w:val="hybridMultilevel"/>
    <w:tmpl w:val="2A123FA0"/>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76B3F"/>
    <w:multiLevelType w:val="hybridMultilevel"/>
    <w:tmpl w:val="2E32AFD2"/>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137E0"/>
    <w:multiLevelType w:val="hybridMultilevel"/>
    <w:tmpl w:val="71428486"/>
    <w:lvl w:ilvl="0" w:tplc="FF168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0817"/>
    <w:multiLevelType w:val="hybridMultilevel"/>
    <w:tmpl w:val="AC5CE988"/>
    <w:lvl w:ilvl="0" w:tplc="7A327162">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0503E"/>
    <w:multiLevelType w:val="hybridMultilevel"/>
    <w:tmpl w:val="C9DE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064B9"/>
    <w:multiLevelType w:val="hybridMultilevel"/>
    <w:tmpl w:val="D8BE88C4"/>
    <w:lvl w:ilvl="0" w:tplc="B5DE78C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0F55"/>
    <w:multiLevelType w:val="hybridMultilevel"/>
    <w:tmpl w:val="B6D0E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7102B6"/>
    <w:multiLevelType w:val="hybridMultilevel"/>
    <w:tmpl w:val="42E6CEE8"/>
    <w:lvl w:ilvl="0" w:tplc="7A327162">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E11CF"/>
    <w:multiLevelType w:val="hybridMultilevel"/>
    <w:tmpl w:val="530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94071"/>
    <w:multiLevelType w:val="hybridMultilevel"/>
    <w:tmpl w:val="DF960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7F70AB"/>
    <w:multiLevelType w:val="hybridMultilevel"/>
    <w:tmpl w:val="FEFEE66A"/>
    <w:lvl w:ilvl="0" w:tplc="2FB82D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0"/>
  </w:num>
  <w:num w:numId="5">
    <w:abstractNumId w:val="5"/>
  </w:num>
  <w:num w:numId="6">
    <w:abstractNumId w:val="11"/>
  </w:num>
  <w:num w:numId="7">
    <w:abstractNumId w:val="8"/>
  </w:num>
  <w:num w:numId="8">
    <w:abstractNumId w:val="3"/>
  </w:num>
  <w:num w:numId="9">
    <w:abstractNumId w:val="1"/>
  </w:num>
  <w:num w:numId="10">
    <w:abstractNumId w:val="4"/>
  </w:num>
  <w:num w:numId="11">
    <w:abstractNumId w:val="7"/>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CD"/>
    <w:rsid w:val="000061B5"/>
    <w:rsid w:val="000104E7"/>
    <w:rsid w:val="000137B5"/>
    <w:rsid w:val="000138D4"/>
    <w:rsid w:val="0001485F"/>
    <w:rsid w:val="00017973"/>
    <w:rsid w:val="00030D77"/>
    <w:rsid w:val="000361CA"/>
    <w:rsid w:val="000503D5"/>
    <w:rsid w:val="000A3DC3"/>
    <w:rsid w:val="000A48B4"/>
    <w:rsid w:val="000B57CC"/>
    <w:rsid w:val="000C1802"/>
    <w:rsid w:val="000F55FB"/>
    <w:rsid w:val="0010136E"/>
    <w:rsid w:val="001208EB"/>
    <w:rsid w:val="00147269"/>
    <w:rsid w:val="00156185"/>
    <w:rsid w:val="00166E8D"/>
    <w:rsid w:val="00175A66"/>
    <w:rsid w:val="00196F4F"/>
    <w:rsid w:val="001A7741"/>
    <w:rsid w:val="001B1FB4"/>
    <w:rsid w:val="001D4667"/>
    <w:rsid w:val="001D5BD6"/>
    <w:rsid w:val="001E4213"/>
    <w:rsid w:val="001F68D1"/>
    <w:rsid w:val="00217351"/>
    <w:rsid w:val="002312F7"/>
    <w:rsid w:val="00236EBD"/>
    <w:rsid w:val="002400CD"/>
    <w:rsid w:val="0024783D"/>
    <w:rsid w:val="0025761B"/>
    <w:rsid w:val="002611FC"/>
    <w:rsid w:val="00265398"/>
    <w:rsid w:val="0026653F"/>
    <w:rsid w:val="00295EBD"/>
    <w:rsid w:val="002B7DA2"/>
    <w:rsid w:val="002C2B12"/>
    <w:rsid w:val="002D0FEB"/>
    <w:rsid w:val="002D49E2"/>
    <w:rsid w:val="002D513D"/>
    <w:rsid w:val="002E194D"/>
    <w:rsid w:val="002F1D39"/>
    <w:rsid w:val="00321895"/>
    <w:rsid w:val="003604E6"/>
    <w:rsid w:val="003608E7"/>
    <w:rsid w:val="00366C87"/>
    <w:rsid w:val="0037129C"/>
    <w:rsid w:val="00390375"/>
    <w:rsid w:val="00395D5B"/>
    <w:rsid w:val="003C3C6E"/>
    <w:rsid w:val="003E46AB"/>
    <w:rsid w:val="003E60DA"/>
    <w:rsid w:val="004020EA"/>
    <w:rsid w:val="00404818"/>
    <w:rsid w:val="004067A2"/>
    <w:rsid w:val="004129EC"/>
    <w:rsid w:val="00423E0D"/>
    <w:rsid w:val="00430813"/>
    <w:rsid w:val="00431F9C"/>
    <w:rsid w:val="00432BA6"/>
    <w:rsid w:val="00433D5F"/>
    <w:rsid w:val="004460F7"/>
    <w:rsid w:val="00473C06"/>
    <w:rsid w:val="004973B0"/>
    <w:rsid w:val="004A2D55"/>
    <w:rsid w:val="004A5732"/>
    <w:rsid w:val="004A713B"/>
    <w:rsid w:val="004D2947"/>
    <w:rsid w:val="004D69D1"/>
    <w:rsid w:val="004E448C"/>
    <w:rsid w:val="004E592B"/>
    <w:rsid w:val="004E7A10"/>
    <w:rsid w:val="00512960"/>
    <w:rsid w:val="00531B26"/>
    <w:rsid w:val="005525FC"/>
    <w:rsid w:val="00585A01"/>
    <w:rsid w:val="005B5FB0"/>
    <w:rsid w:val="005C679C"/>
    <w:rsid w:val="005D02FB"/>
    <w:rsid w:val="005D5439"/>
    <w:rsid w:val="005E250A"/>
    <w:rsid w:val="005E3294"/>
    <w:rsid w:val="005F4588"/>
    <w:rsid w:val="00601ABC"/>
    <w:rsid w:val="006069B6"/>
    <w:rsid w:val="00610D22"/>
    <w:rsid w:val="00611857"/>
    <w:rsid w:val="00615C01"/>
    <w:rsid w:val="00615D00"/>
    <w:rsid w:val="00633785"/>
    <w:rsid w:val="00647F86"/>
    <w:rsid w:val="006532FE"/>
    <w:rsid w:val="0065401A"/>
    <w:rsid w:val="00663ED2"/>
    <w:rsid w:val="006800A7"/>
    <w:rsid w:val="006970AF"/>
    <w:rsid w:val="006A44C8"/>
    <w:rsid w:val="006C13F9"/>
    <w:rsid w:val="00701389"/>
    <w:rsid w:val="00710E49"/>
    <w:rsid w:val="0071553D"/>
    <w:rsid w:val="007423B5"/>
    <w:rsid w:val="00744CDF"/>
    <w:rsid w:val="0074631B"/>
    <w:rsid w:val="00752EE2"/>
    <w:rsid w:val="0076073C"/>
    <w:rsid w:val="007618C3"/>
    <w:rsid w:val="00767DD6"/>
    <w:rsid w:val="00771CC1"/>
    <w:rsid w:val="00797674"/>
    <w:rsid w:val="007A33FB"/>
    <w:rsid w:val="007E256B"/>
    <w:rsid w:val="008012D8"/>
    <w:rsid w:val="00802704"/>
    <w:rsid w:val="00803BB8"/>
    <w:rsid w:val="00805A83"/>
    <w:rsid w:val="00810F2D"/>
    <w:rsid w:val="00826399"/>
    <w:rsid w:val="00845A74"/>
    <w:rsid w:val="008555E5"/>
    <w:rsid w:val="00871821"/>
    <w:rsid w:val="00871EF1"/>
    <w:rsid w:val="00876272"/>
    <w:rsid w:val="00883211"/>
    <w:rsid w:val="00886281"/>
    <w:rsid w:val="00891369"/>
    <w:rsid w:val="00895EA3"/>
    <w:rsid w:val="008A158E"/>
    <w:rsid w:val="008C66E7"/>
    <w:rsid w:val="008E0746"/>
    <w:rsid w:val="008E7114"/>
    <w:rsid w:val="008E79CD"/>
    <w:rsid w:val="0090067F"/>
    <w:rsid w:val="0090191D"/>
    <w:rsid w:val="009076FE"/>
    <w:rsid w:val="00920015"/>
    <w:rsid w:val="009203CB"/>
    <w:rsid w:val="00920DE9"/>
    <w:rsid w:val="009324A8"/>
    <w:rsid w:val="00963327"/>
    <w:rsid w:val="00963F52"/>
    <w:rsid w:val="00994E3A"/>
    <w:rsid w:val="009A1DAE"/>
    <w:rsid w:val="009B6B1B"/>
    <w:rsid w:val="009C4159"/>
    <w:rsid w:val="009E02CB"/>
    <w:rsid w:val="009E0820"/>
    <w:rsid w:val="009F407F"/>
    <w:rsid w:val="00A000E6"/>
    <w:rsid w:val="00A016C6"/>
    <w:rsid w:val="00A22C7C"/>
    <w:rsid w:val="00A24C2A"/>
    <w:rsid w:val="00A36D9F"/>
    <w:rsid w:val="00A432DE"/>
    <w:rsid w:val="00A45691"/>
    <w:rsid w:val="00A500AE"/>
    <w:rsid w:val="00A61A1C"/>
    <w:rsid w:val="00A82084"/>
    <w:rsid w:val="00A97419"/>
    <w:rsid w:val="00AB671C"/>
    <w:rsid w:val="00AC56A1"/>
    <w:rsid w:val="00AD4DFE"/>
    <w:rsid w:val="00AF3F0F"/>
    <w:rsid w:val="00AF5104"/>
    <w:rsid w:val="00B371C5"/>
    <w:rsid w:val="00B42B88"/>
    <w:rsid w:val="00B46D70"/>
    <w:rsid w:val="00B53753"/>
    <w:rsid w:val="00B569AA"/>
    <w:rsid w:val="00B65E16"/>
    <w:rsid w:val="00B75D77"/>
    <w:rsid w:val="00B957B6"/>
    <w:rsid w:val="00B97E93"/>
    <w:rsid w:val="00BA4316"/>
    <w:rsid w:val="00BA78A6"/>
    <w:rsid w:val="00BB0C1C"/>
    <w:rsid w:val="00BB4B9A"/>
    <w:rsid w:val="00BC3034"/>
    <w:rsid w:val="00BC4DB4"/>
    <w:rsid w:val="00BE67A3"/>
    <w:rsid w:val="00BE7844"/>
    <w:rsid w:val="00BF0A6C"/>
    <w:rsid w:val="00C1703D"/>
    <w:rsid w:val="00C3722A"/>
    <w:rsid w:val="00C506E8"/>
    <w:rsid w:val="00C566CB"/>
    <w:rsid w:val="00C613A3"/>
    <w:rsid w:val="00C66A1F"/>
    <w:rsid w:val="00C709A3"/>
    <w:rsid w:val="00C85278"/>
    <w:rsid w:val="00C950A0"/>
    <w:rsid w:val="00CB0ED4"/>
    <w:rsid w:val="00CB1CD7"/>
    <w:rsid w:val="00CC32D2"/>
    <w:rsid w:val="00CE4D59"/>
    <w:rsid w:val="00D02D24"/>
    <w:rsid w:val="00D152B6"/>
    <w:rsid w:val="00D24CEB"/>
    <w:rsid w:val="00D70E68"/>
    <w:rsid w:val="00D7678C"/>
    <w:rsid w:val="00D82660"/>
    <w:rsid w:val="00DC3E57"/>
    <w:rsid w:val="00DC58A6"/>
    <w:rsid w:val="00DE4C62"/>
    <w:rsid w:val="00E01475"/>
    <w:rsid w:val="00E104AF"/>
    <w:rsid w:val="00E11511"/>
    <w:rsid w:val="00E31199"/>
    <w:rsid w:val="00E346C0"/>
    <w:rsid w:val="00E35F20"/>
    <w:rsid w:val="00E85303"/>
    <w:rsid w:val="00E85697"/>
    <w:rsid w:val="00EA38CE"/>
    <w:rsid w:val="00EA4CF6"/>
    <w:rsid w:val="00EC2AA6"/>
    <w:rsid w:val="00EC4234"/>
    <w:rsid w:val="00EC6C69"/>
    <w:rsid w:val="00EF172B"/>
    <w:rsid w:val="00EF1763"/>
    <w:rsid w:val="00EF3379"/>
    <w:rsid w:val="00EF5594"/>
    <w:rsid w:val="00F01D30"/>
    <w:rsid w:val="00F12107"/>
    <w:rsid w:val="00F318ED"/>
    <w:rsid w:val="00F35729"/>
    <w:rsid w:val="00F66CFC"/>
    <w:rsid w:val="00F76D1B"/>
    <w:rsid w:val="00F80186"/>
    <w:rsid w:val="00F93244"/>
    <w:rsid w:val="00F94684"/>
    <w:rsid w:val="00FA6AC9"/>
    <w:rsid w:val="00FB412B"/>
    <w:rsid w:val="00FB5426"/>
    <w:rsid w:val="00FB5D46"/>
    <w:rsid w:val="00FC3387"/>
    <w:rsid w:val="00FE1ED9"/>
    <w:rsid w:val="00FE2275"/>
    <w:rsid w:val="00FE7C26"/>
    <w:rsid w:val="00FF4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D691CD"/>
  <w15:docId w15:val="{3BF64EAD-3244-4D81-9D55-9221B606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CD"/>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186"/>
    <w:pPr>
      <w:ind w:left="720"/>
      <w:contextualSpacing/>
    </w:pPr>
  </w:style>
  <w:style w:type="character" w:styleId="a4">
    <w:name w:val="annotation reference"/>
    <w:uiPriority w:val="99"/>
    <w:semiHidden/>
    <w:unhideWhenUsed/>
    <w:rsid w:val="002400CD"/>
    <w:rPr>
      <w:sz w:val="16"/>
      <w:szCs w:val="16"/>
    </w:rPr>
  </w:style>
  <w:style w:type="paragraph" w:styleId="a5">
    <w:name w:val="annotation text"/>
    <w:basedOn w:val="a"/>
    <w:link w:val="a6"/>
    <w:uiPriority w:val="99"/>
    <w:semiHidden/>
    <w:unhideWhenUsed/>
    <w:rsid w:val="002400CD"/>
    <w:rPr>
      <w:sz w:val="20"/>
      <w:szCs w:val="20"/>
    </w:rPr>
  </w:style>
  <w:style w:type="character" w:customStyle="1" w:styleId="a6">
    <w:name w:val="טקסט הערה תו"/>
    <w:basedOn w:val="a0"/>
    <w:link w:val="a5"/>
    <w:uiPriority w:val="99"/>
    <w:semiHidden/>
    <w:rsid w:val="002400CD"/>
    <w:rPr>
      <w:rFonts w:ascii="Calibri" w:eastAsia="Calibri" w:hAnsi="Calibri" w:cs="Arial"/>
      <w:sz w:val="20"/>
      <w:szCs w:val="20"/>
    </w:rPr>
  </w:style>
  <w:style w:type="paragraph" w:styleId="a7">
    <w:name w:val="header"/>
    <w:basedOn w:val="a"/>
    <w:link w:val="a8"/>
    <w:uiPriority w:val="99"/>
    <w:unhideWhenUsed/>
    <w:rsid w:val="002400CD"/>
    <w:pPr>
      <w:tabs>
        <w:tab w:val="center" w:pos="4153"/>
        <w:tab w:val="right" w:pos="8306"/>
      </w:tabs>
    </w:pPr>
  </w:style>
  <w:style w:type="character" w:customStyle="1" w:styleId="a8">
    <w:name w:val="כותרת עליונה תו"/>
    <w:basedOn w:val="a0"/>
    <w:link w:val="a7"/>
    <w:uiPriority w:val="99"/>
    <w:rsid w:val="002400CD"/>
    <w:rPr>
      <w:rFonts w:ascii="Calibri" w:eastAsia="Calibri" w:hAnsi="Calibri" w:cs="Arial"/>
    </w:rPr>
  </w:style>
  <w:style w:type="paragraph" w:styleId="a9">
    <w:name w:val="footer"/>
    <w:basedOn w:val="a"/>
    <w:link w:val="aa"/>
    <w:uiPriority w:val="99"/>
    <w:unhideWhenUsed/>
    <w:rsid w:val="002400CD"/>
    <w:pPr>
      <w:tabs>
        <w:tab w:val="center" w:pos="4153"/>
        <w:tab w:val="right" w:pos="8306"/>
      </w:tabs>
    </w:pPr>
  </w:style>
  <w:style w:type="character" w:customStyle="1" w:styleId="aa">
    <w:name w:val="כותרת תחתונה תו"/>
    <w:basedOn w:val="a0"/>
    <w:link w:val="a9"/>
    <w:uiPriority w:val="99"/>
    <w:rsid w:val="002400CD"/>
    <w:rPr>
      <w:rFonts w:ascii="Calibri" w:eastAsia="Calibri" w:hAnsi="Calibri" w:cs="Arial"/>
    </w:rPr>
  </w:style>
  <w:style w:type="paragraph" w:styleId="ab">
    <w:name w:val="Balloon Text"/>
    <w:basedOn w:val="a"/>
    <w:link w:val="ac"/>
    <w:uiPriority w:val="99"/>
    <w:semiHidden/>
    <w:unhideWhenUsed/>
    <w:rsid w:val="002400CD"/>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2400CD"/>
    <w:rPr>
      <w:rFonts w:ascii="Tahoma" w:eastAsia="Calibri" w:hAnsi="Tahoma" w:cs="Tahoma"/>
      <w:sz w:val="16"/>
      <w:szCs w:val="16"/>
    </w:rPr>
  </w:style>
  <w:style w:type="paragraph" w:styleId="ad">
    <w:name w:val="footnote text"/>
    <w:basedOn w:val="a"/>
    <w:link w:val="ae"/>
    <w:semiHidden/>
    <w:unhideWhenUsed/>
    <w:rsid w:val="00826399"/>
    <w:pPr>
      <w:spacing w:after="0" w:line="240" w:lineRule="auto"/>
    </w:pPr>
    <w:rPr>
      <w:sz w:val="20"/>
      <w:szCs w:val="20"/>
    </w:rPr>
  </w:style>
  <w:style w:type="character" w:customStyle="1" w:styleId="ae">
    <w:name w:val="טקסט הערת שוליים תו"/>
    <w:basedOn w:val="a0"/>
    <w:link w:val="ad"/>
    <w:semiHidden/>
    <w:rsid w:val="00826399"/>
    <w:rPr>
      <w:rFonts w:ascii="Calibri" w:eastAsia="Calibri" w:hAnsi="Calibri" w:cs="Arial"/>
      <w:sz w:val="20"/>
      <w:szCs w:val="20"/>
    </w:rPr>
  </w:style>
  <w:style w:type="character" w:styleId="af">
    <w:name w:val="footnote reference"/>
    <w:basedOn w:val="a0"/>
    <w:semiHidden/>
    <w:unhideWhenUsed/>
    <w:rsid w:val="00826399"/>
    <w:rPr>
      <w:vertAlign w:val="superscript"/>
    </w:rPr>
  </w:style>
  <w:style w:type="paragraph" w:styleId="af0">
    <w:name w:val="annotation subject"/>
    <w:basedOn w:val="a5"/>
    <w:next w:val="a5"/>
    <w:link w:val="af1"/>
    <w:uiPriority w:val="99"/>
    <w:semiHidden/>
    <w:unhideWhenUsed/>
    <w:rsid w:val="00B371C5"/>
    <w:pPr>
      <w:spacing w:line="240" w:lineRule="auto"/>
    </w:pPr>
    <w:rPr>
      <w:b/>
      <w:bCs/>
    </w:rPr>
  </w:style>
  <w:style w:type="character" w:customStyle="1" w:styleId="af1">
    <w:name w:val="נושא הערה תו"/>
    <w:basedOn w:val="a6"/>
    <w:link w:val="af0"/>
    <w:uiPriority w:val="99"/>
    <w:semiHidden/>
    <w:rsid w:val="00B371C5"/>
    <w:rPr>
      <w:rFonts w:ascii="Calibri" w:eastAsia="Calibri" w:hAnsi="Calibri" w:cs="Arial"/>
      <w:b/>
      <w:bCs/>
      <w:sz w:val="20"/>
      <w:szCs w:val="20"/>
    </w:rPr>
  </w:style>
  <w:style w:type="paragraph" w:customStyle="1" w:styleId="Ruller4">
    <w:name w:val="Ruller4"/>
    <w:basedOn w:val="a"/>
    <w:rsid w:val="00D82660"/>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character" w:customStyle="1" w:styleId="default">
    <w:name w:val="default"/>
    <w:rsid w:val="00A432DE"/>
    <w:rPr>
      <w:rFonts w:ascii="Times New Roman" w:hAnsi="Times New Roman" w:cs="Times New Roman"/>
      <w:sz w:val="26"/>
      <w:szCs w:val="26"/>
    </w:rPr>
  </w:style>
  <w:style w:type="paragraph" w:customStyle="1" w:styleId="P00">
    <w:name w:val="P00"/>
    <w:rsid w:val="00A432D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A432DE"/>
    <w:pPr>
      <w:tabs>
        <w:tab w:val="clear" w:pos="624"/>
        <w:tab w:val="clear" w:pos="1021"/>
      </w:tabs>
      <w:ind w:right="10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075210">
      <w:bodyDiv w:val="1"/>
      <w:marLeft w:val="0"/>
      <w:marRight w:val="0"/>
      <w:marTop w:val="0"/>
      <w:marBottom w:val="0"/>
      <w:divBdr>
        <w:top w:val="none" w:sz="0" w:space="0" w:color="auto"/>
        <w:left w:val="none" w:sz="0" w:space="0" w:color="auto"/>
        <w:bottom w:val="none" w:sz="0" w:space="0" w:color="auto"/>
        <w:right w:val="none" w:sz="0" w:space="0" w:color="auto"/>
      </w:divBdr>
    </w:div>
    <w:div w:id="18137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קלאסי">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024F-D8A5-474A-A598-2A2AB68A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7756</Characters>
  <Application>Microsoft Office Word</Application>
  <DocSecurity>4</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חופית עלפי</cp:lastModifiedBy>
  <cp:revision>2</cp:revision>
  <cp:lastPrinted>2016-03-10T09:43:00Z</cp:lastPrinted>
  <dcterms:created xsi:type="dcterms:W3CDTF">2016-03-17T12:55:00Z</dcterms:created>
  <dcterms:modified xsi:type="dcterms:W3CDTF">2016-03-17T12:55:00Z</dcterms:modified>
</cp:coreProperties>
</file>