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0CD" w:rsidRDefault="002400CD" w:rsidP="002400CD">
      <w:pPr>
        <w:spacing w:line="360" w:lineRule="auto"/>
        <w:jc w:val="both"/>
        <w:rPr>
          <w:rFonts w:cs="David"/>
          <w:sz w:val="24"/>
          <w:szCs w:val="24"/>
          <w:rtl/>
        </w:rPr>
      </w:pPr>
      <w:bookmarkStart w:id="0" w:name="_GoBack"/>
      <w:bookmarkEnd w:id="0"/>
      <w:r w:rsidRPr="000C1AD7">
        <w:rPr>
          <w:rFonts w:cs="David" w:hint="cs"/>
          <w:sz w:val="24"/>
          <w:szCs w:val="24"/>
          <w:rtl/>
        </w:rPr>
        <w:t xml:space="preserve">הנחיית יועץ/פ"מ </w:t>
      </w:r>
      <w:r w:rsidRPr="000C1AD7">
        <w:rPr>
          <w:rFonts w:cs="David"/>
          <w:sz w:val="24"/>
          <w:szCs w:val="24"/>
          <w:rtl/>
        </w:rPr>
        <w:t>–</w:t>
      </w:r>
      <w:r w:rsidRPr="000C1AD7">
        <w:rPr>
          <w:rFonts w:cs="David" w:hint="cs"/>
          <w:sz w:val="24"/>
          <w:szCs w:val="24"/>
          <w:rtl/>
        </w:rPr>
        <w:t xml:space="preserve"> מדיניות האכיפה בעבירות של הלבנת הון כאשר עבירות המקור הן עבירות מס</w:t>
      </w:r>
      <w:r w:rsidR="00771CC1">
        <w:rPr>
          <w:rFonts w:cs="David" w:hint="cs"/>
          <w:sz w:val="24"/>
          <w:szCs w:val="24"/>
          <w:rtl/>
        </w:rPr>
        <w:t xml:space="preserve"> </w:t>
      </w:r>
    </w:p>
    <w:p w:rsidR="002400CD" w:rsidRPr="00D02DAB" w:rsidRDefault="002400CD" w:rsidP="002400CD">
      <w:pPr>
        <w:numPr>
          <w:ilvl w:val="0"/>
          <w:numId w:val="1"/>
        </w:numPr>
        <w:spacing w:line="360" w:lineRule="auto"/>
        <w:jc w:val="both"/>
        <w:rPr>
          <w:rFonts w:cs="David"/>
          <w:b/>
          <w:bCs/>
          <w:sz w:val="24"/>
          <w:szCs w:val="24"/>
        </w:rPr>
      </w:pPr>
      <w:r w:rsidRPr="00D02DAB">
        <w:rPr>
          <w:rFonts w:cs="David" w:hint="cs"/>
          <w:b/>
          <w:bCs/>
          <w:sz w:val="24"/>
          <w:szCs w:val="24"/>
          <w:rtl/>
        </w:rPr>
        <w:t>רקע</w:t>
      </w:r>
    </w:p>
    <w:p w:rsidR="002400CD" w:rsidRDefault="002400CD" w:rsidP="00FF40FC">
      <w:pPr>
        <w:keepLines/>
        <w:numPr>
          <w:ilvl w:val="0"/>
          <w:numId w:val="2"/>
        </w:numPr>
        <w:spacing w:after="0" w:line="360" w:lineRule="auto"/>
        <w:jc w:val="both"/>
        <w:rPr>
          <w:rFonts w:cs="David"/>
          <w:sz w:val="24"/>
          <w:szCs w:val="24"/>
        </w:rPr>
      </w:pPr>
      <w:r w:rsidRPr="000C1AD7">
        <w:rPr>
          <w:rFonts w:cs="David" w:hint="cs"/>
          <w:sz w:val="24"/>
          <w:szCs w:val="24"/>
          <w:rtl/>
        </w:rPr>
        <w:t xml:space="preserve">הנחיה זו עניינה </w:t>
      </w:r>
      <w:r>
        <w:rPr>
          <w:rFonts w:cs="David" w:hint="cs"/>
          <w:sz w:val="24"/>
          <w:szCs w:val="24"/>
          <w:rtl/>
        </w:rPr>
        <w:t xml:space="preserve">בעבירות הלבנת הון </w:t>
      </w:r>
      <w:r w:rsidR="00FF40FC">
        <w:rPr>
          <w:rFonts w:cs="David" w:hint="cs"/>
          <w:sz w:val="24"/>
          <w:szCs w:val="24"/>
          <w:rtl/>
        </w:rPr>
        <w:t xml:space="preserve">ברכוש אסור המתייחס לעבירות מקור שהן </w:t>
      </w:r>
      <w:r>
        <w:rPr>
          <w:rFonts w:cs="David" w:hint="cs"/>
          <w:sz w:val="24"/>
          <w:szCs w:val="24"/>
          <w:rtl/>
        </w:rPr>
        <w:t xml:space="preserve">עבירות מס הקבועות בתוספת הראשונה לחוק איסור הלבנת הון: סעיף 220 לפקודת מס הכנסה, סעיף 117 לחוק מע"מ וסעיף 98ג לחוק מיסוי מקרקעין. </w:t>
      </w:r>
    </w:p>
    <w:p w:rsidR="002400CD" w:rsidRDefault="002400CD" w:rsidP="00767DD6">
      <w:pPr>
        <w:keepLines/>
        <w:numPr>
          <w:ilvl w:val="0"/>
          <w:numId w:val="2"/>
        </w:numPr>
        <w:spacing w:after="0" w:line="360" w:lineRule="auto"/>
        <w:jc w:val="both"/>
        <w:rPr>
          <w:rFonts w:cs="David"/>
          <w:sz w:val="24"/>
          <w:szCs w:val="24"/>
        </w:rPr>
      </w:pPr>
      <w:r>
        <w:rPr>
          <w:rFonts w:cs="David" w:hint="cs"/>
          <w:sz w:val="24"/>
          <w:szCs w:val="24"/>
          <w:rtl/>
        </w:rPr>
        <w:t>לאחרונה תוקן חוק איסור הלבנת הון והתווספו לרשימת עבירות המקור המנויות בתוספת הראשונה לחוק עבירות .... כן נקבע כי עבירות אלו יהוו עבירות מקור בנסיבות המפורטות להלן [...]</w:t>
      </w:r>
    </w:p>
    <w:p w:rsidR="00805A83" w:rsidRDefault="00805A83" w:rsidP="00A016C6">
      <w:pPr>
        <w:keepLines/>
        <w:numPr>
          <w:ilvl w:val="0"/>
          <w:numId w:val="2"/>
        </w:numPr>
        <w:spacing w:after="0" w:line="360" w:lineRule="auto"/>
        <w:jc w:val="both"/>
        <w:rPr>
          <w:rFonts w:cs="David"/>
          <w:sz w:val="24"/>
          <w:szCs w:val="24"/>
        </w:rPr>
      </w:pPr>
      <w:r w:rsidRPr="00727B67">
        <w:rPr>
          <w:rFonts w:cs="David" w:hint="cs"/>
          <w:sz w:val="24"/>
          <w:szCs w:val="24"/>
          <w:rtl/>
        </w:rPr>
        <w:t>לעניין ה</w:t>
      </w:r>
      <w:r w:rsidR="00A016C6" w:rsidRPr="00727B67">
        <w:rPr>
          <w:rFonts w:cs="David" w:hint="cs"/>
          <w:sz w:val="24"/>
          <w:szCs w:val="24"/>
          <w:rtl/>
        </w:rPr>
        <w:t>תנאי</w:t>
      </w:r>
      <w:r w:rsidRPr="00727B67">
        <w:rPr>
          <w:rFonts w:cs="David" w:hint="cs"/>
          <w:sz w:val="24"/>
          <w:szCs w:val="24"/>
          <w:rtl/>
        </w:rPr>
        <w:t xml:space="preserve"> של תחכום יובהר כי </w:t>
      </w:r>
      <w:r w:rsidR="00A016C6" w:rsidRPr="00727B67">
        <w:rPr>
          <w:rFonts w:cs="David" w:hint="cs"/>
          <w:sz w:val="24"/>
          <w:szCs w:val="24"/>
          <w:rtl/>
        </w:rPr>
        <w:t>בתנאי זה</w:t>
      </w:r>
      <w:r w:rsidRPr="00727B67">
        <w:rPr>
          <w:rFonts w:cs="David" w:hint="cs"/>
          <w:sz w:val="24"/>
          <w:szCs w:val="24"/>
          <w:rtl/>
        </w:rPr>
        <w:t xml:space="preserve"> ייכללו מקרים כגון</w:t>
      </w:r>
      <w:r w:rsidR="00A016C6" w:rsidRPr="00727B67">
        <w:rPr>
          <w:rFonts w:cs="David" w:hint="cs"/>
          <w:sz w:val="24"/>
          <w:szCs w:val="24"/>
          <w:rtl/>
        </w:rPr>
        <w:t>:</w:t>
      </w:r>
      <w:r w:rsidRPr="00727B67">
        <w:rPr>
          <w:rFonts w:cs="David" w:hint="cs"/>
          <w:sz w:val="24"/>
          <w:szCs w:val="24"/>
          <w:rtl/>
        </w:rPr>
        <w:t xml:space="preserve"> שימוש בתאגידים ומבנים משפטיים (נאמנויות)</w:t>
      </w:r>
      <w:r w:rsidR="00EF1763" w:rsidRPr="00727B67">
        <w:rPr>
          <w:rFonts w:cs="David" w:hint="cs"/>
          <w:sz w:val="24"/>
          <w:szCs w:val="24"/>
          <w:rtl/>
        </w:rPr>
        <w:t>, פתיחה וסגירה של תאגידים או שימוש במספר רב של תאגידים</w:t>
      </w:r>
      <w:r w:rsidRPr="00727B67">
        <w:rPr>
          <w:rFonts w:cs="David" w:hint="cs"/>
          <w:sz w:val="24"/>
          <w:szCs w:val="24"/>
          <w:rtl/>
        </w:rPr>
        <w:t xml:space="preserve">, </w:t>
      </w:r>
      <w:r w:rsidR="00EF1763" w:rsidRPr="00727B67">
        <w:rPr>
          <w:rFonts w:cs="David" w:hint="cs"/>
          <w:sz w:val="24"/>
          <w:szCs w:val="24"/>
          <w:rtl/>
        </w:rPr>
        <w:t xml:space="preserve">ניצול בעלי מקצוע המהווים שומרי סף (עורכי דין, </w:t>
      </w:r>
      <w:r w:rsidRPr="00727B67">
        <w:rPr>
          <w:rFonts w:cs="David" w:hint="cs"/>
          <w:sz w:val="24"/>
          <w:szCs w:val="24"/>
          <w:rtl/>
        </w:rPr>
        <w:t>רואי חשבון</w:t>
      </w:r>
      <w:r w:rsidR="00EF1763" w:rsidRPr="00727B67">
        <w:rPr>
          <w:rFonts w:cs="David" w:hint="cs"/>
          <w:sz w:val="24"/>
          <w:szCs w:val="24"/>
          <w:rtl/>
        </w:rPr>
        <w:t>, מנהלי חשבונות, יועצי מס</w:t>
      </w:r>
      <w:r w:rsidRPr="00727B67">
        <w:rPr>
          <w:rFonts w:cs="David" w:hint="cs"/>
          <w:sz w:val="24"/>
          <w:szCs w:val="24"/>
          <w:rtl/>
        </w:rPr>
        <w:t xml:space="preserve">), העברת רכוש בין מדינות, תנועות סיבוביות, </w:t>
      </w:r>
      <w:r w:rsidR="00FE1ED9" w:rsidRPr="00727B67">
        <w:rPr>
          <w:rFonts w:cs="David" w:hint="cs"/>
          <w:sz w:val="24"/>
          <w:szCs w:val="24"/>
          <w:rtl/>
        </w:rPr>
        <w:t>שימוש באנשי קש, שימוש מניפולטיבי בגופים פיננסיים (למשל, פיצול תקבולים והפקדות בגופים פיננסיים שונים לרבות במספר אמצעי תשלום)</w:t>
      </w:r>
      <w:r w:rsidR="00E85697" w:rsidRPr="00727B67">
        <w:rPr>
          <w:rFonts w:cs="David" w:hint="cs"/>
          <w:sz w:val="24"/>
          <w:szCs w:val="24"/>
          <w:rtl/>
        </w:rPr>
        <w:t>, שימוש בזירות וירטואליות</w:t>
      </w:r>
      <w:r w:rsidR="00EF1763" w:rsidRPr="00727B67">
        <w:rPr>
          <w:rFonts w:cs="David" w:hint="cs"/>
          <w:sz w:val="24"/>
          <w:szCs w:val="24"/>
          <w:rtl/>
        </w:rPr>
        <w:t xml:space="preserve">, </w:t>
      </w:r>
      <w:r w:rsidR="00AF5104" w:rsidRPr="00727B67">
        <w:rPr>
          <w:rFonts w:cs="David" w:hint="cs"/>
          <w:sz w:val="24"/>
          <w:szCs w:val="24"/>
          <w:rtl/>
        </w:rPr>
        <w:t>בניית תוכניות מחשב מתוחכמות</w:t>
      </w:r>
      <w:r w:rsidR="00FE1ED9" w:rsidRPr="00727B67">
        <w:rPr>
          <w:rFonts w:cs="David" w:hint="cs"/>
          <w:sz w:val="24"/>
          <w:szCs w:val="24"/>
          <w:rtl/>
        </w:rPr>
        <w:t>.</w:t>
      </w:r>
      <w:r w:rsidRPr="00727B67">
        <w:rPr>
          <w:rFonts w:cs="David" w:hint="cs"/>
          <w:sz w:val="24"/>
          <w:szCs w:val="24"/>
          <w:rtl/>
        </w:rPr>
        <w:t xml:space="preserve">  </w:t>
      </w:r>
    </w:p>
    <w:p w:rsidR="003028BA" w:rsidRPr="003028BA" w:rsidRDefault="00727B67" w:rsidP="00EA2E4F">
      <w:pPr>
        <w:keepLines/>
        <w:numPr>
          <w:ilvl w:val="0"/>
          <w:numId w:val="2"/>
        </w:numPr>
        <w:spacing w:after="0" w:line="360" w:lineRule="auto"/>
        <w:jc w:val="both"/>
        <w:rPr>
          <w:rFonts w:cs="David"/>
          <w:sz w:val="24"/>
          <w:szCs w:val="24"/>
        </w:rPr>
      </w:pPr>
      <w:r w:rsidRPr="003028BA">
        <w:rPr>
          <w:rFonts w:cs="David" w:hint="cs"/>
          <w:sz w:val="24"/>
          <w:szCs w:val="24"/>
          <w:rtl/>
        </w:rPr>
        <w:t>לעניין התנאי של דפוס פעולה חוזר או מתמשך יובהר כי בתנאי זה ייכללו מקרים בהם הנאשם ביצע מספר רב של פעולות הלבנת הון בקשר לעבירת המס במהלך תקופה משמעותית</w:t>
      </w:r>
      <w:r w:rsidR="001B3DA2" w:rsidRPr="003028BA">
        <w:rPr>
          <w:rFonts w:cs="David" w:hint="cs"/>
          <w:sz w:val="24"/>
          <w:szCs w:val="24"/>
          <w:rtl/>
        </w:rPr>
        <w:t xml:space="preserve">. </w:t>
      </w:r>
      <w:r w:rsidR="003028BA" w:rsidRPr="003028BA">
        <w:rPr>
          <w:rFonts w:cs="David" w:hint="cs"/>
          <w:sz w:val="24"/>
          <w:szCs w:val="24"/>
          <w:rtl/>
        </w:rPr>
        <w:t>כך למשל, יכללו בתנאי זה נאשם המלבין הון באמצעות חשבונות בנק על שם שותפו בהם הוא אינו נרשם כנהנה או נאשם המפקיד את כספי העלמת המס בסכומי מס הפחותים מרף הדיווח במוסד פיננסי</w:t>
      </w:r>
      <w:r w:rsidR="00EA2E4F">
        <w:rPr>
          <w:rFonts w:cs="David" w:hint="cs"/>
          <w:sz w:val="24"/>
          <w:szCs w:val="24"/>
          <w:rtl/>
        </w:rPr>
        <w:t>, כל זאת</w:t>
      </w:r>
      <w:r w:rsidR="003028BA" w:rsidRPr="003028BA">
        <w:rPr>
          <w:rFonts w:cs="David" w:hint="cs"/>
          <w:sz w:val="24"/>
          <w:szCs w:val="24"/>
          <w:rtl/>
        </w:rPr>
        <w:t xml:space="preserve"> באופן שיטתי</w:t>
      </w:r>
      <w:r w:rsidR="00EA2E4F">
        <w:rPr>
          <w:rFonts w:cs="David" w:hint="cs"/>
          <w:sz w:val="24"/>
          <w:szCs w:val="24"/>
          <w:rtl/>
        </w:rPr>
        <w:t xml:space="preserve"> ועל פני תקופה משמעותית</w:t>
      </w:r>
      <w:r w:rsidR="003028BA" w:rsidRPr="003028BA">
        <w:rPr>
          <w:rFonts w:cs="David" w:hint="cs"/>
          <w:sz w:val="24"/>
          <w:szCs w:val="24"/>
          <w:rtl/>
        </w:rPr>
        <w:t>.</w:t>
      </w:r>
      <w:r w:rsidRPr="003028BA">
        <w:rPr>
          <w:rFonts w:cs="David" w:hint="cs"/>
          <w:sz w:val="24"/>
          <w:szCs w:val="24"/>
          <w:rtl/>
        </w:rPr>
        <w:t xml:space="preserve">  </w:t>
      </w:r>
    </w:p>
    <w:p w:rsidR="00805A83" w:rsidRPr="00727B67" w:rsidRDefault="00A016C6" w:rsidP="00A016C6">
      <w:pPr>
        <w:keepLines/>
        <w:numPr>
          <w:ilvl w:val="0"/>
          <w:numId w:val="2"/>
        </w:numPr>
        <w:spacing w:after="0" w:line="360" w:lineRule="auto"/>
        <w:jc w:val="both"/>
        <w:rPr>
          <w:rFonts w:cs="David"/>
          <w:sz w:val="24"/>
          <w:szCs w:val="24"/>
          <w:rtl/>
        </w:rPr>
      </w:pPr>
      <w:r w:rsidRPr="00727B67">
        <w:rPr>
          <w:rFonts w:cs="David" w:hint="cs"/>
          <w:sz w:val="24"/>
          <w:szCs w:val="24"/>
          <w:rtl/>
        </w:rPr>
        <w:t xml:space="preserve">לגבי התנאי של ביצוע עבירת הלבנת הון בידי מי שאינו האדם החייב במס, יובהר כי בתנאי זה יכללו מצבים בהם </w:t>
      </w:r>
      <w:r w:rsidRPr="00727B67">
        <w:rPr>
          <w:rFonts w:cs="David" w:hint="cs"/>
          <w:b/>
          <w:bCs/>
          <w:sz w:val="24"/>
          <w:szCs w:val="24"/>
          <w:rtl/>
        </w:rPr>
        <w:t>עבירת הלבנת ההון</w:t>
      </w:r>
      <w:r w:rsidRPr="00727B67">
        <w:rPr>
          <w:rFonts w:cs="David" w:hint="cs"/>
          <w:sz w:val="24"/>
          <w:szCs w:val="24"/>
          <w:rtl/>
        </w:rPr>
        <w:t xml:space="preserve"> בוצעה בידי צד ג', ולא כאשר אדם נוסף זולת העבריין היה שותף לעבירת המס, מבלי שביצע עבירות לפי חוק איסור הלבנת הון. כך למשל, תנאי זה אינו מתקיים כאשר בן זוגו של מעלים המס מסייע לו בהעלמת המס.</w:t>
      </w:r>
    </w:p>
    <w:p w:rsidR="002400CD" w:rsidRPr="009076FE" w:rsidRDefault="002400CD" w:rsidP="009076FE">
      <w:pPr>
        <w:keepLines/>
        <w:numPr>
          <w:ilvl w:val="0"/>
          <w:numId w:val="2"/>
        </w:numPr>
        <w:spacing w:after="0" w:line="360" w:lineRule="auto"/>
        <w:jc w:val="both"/>
        <w:rPr>
          <w:rFonts w:cs="David"/>
          <w:sz w:val="24"/>
          <w:szCs w:val="24"/>
          <w:rtl/>
        </w:rPr>
      </w:pPr>
      <w:r w:rsidRPr="00727B67">
        <w:rPr>
          <w:rFonts w:cs="David" w:hint="cs"/>
          <w:sz w:val="24"/>
          <w:szCs w:val="24"/>
          <w:rtl/>
        </w:rPr>
        <w:t xml:space="preserve">מטרתה של הנחיה זו </w:t>
      </w:r>
      <w:r w:rsidR="00871821" w:rsidRPr="00727B67">
        <w:rPr>
          <w:rFonts w:cs="David" w:hint="cs"/>
          <w:sz w:val="24"/>
          <w:szCs w:val="24"/>
          <w:rtl/>
        </w:rPr>
        <w:t>להבנות את שיקול דעת הפרקליט באשר לנסיבות בהן ראוי להוסיף</w:t>
      </w:r>
      <w:r w:rsidR="00871821">
        <w:rPr>
          <w:rFonts w:cs="David" w:hint="cs"/>
          <w:sz w:val="24"/>
          <w:szCs w:val="24"/>
          <w:rtl/>
        </w:rPr>
        <w:t xml:space="preserve"> אישום בעבירת הלבנת הון מקום שעבירת המקור נשוא ההלבנה הינה אחת משלושת העבירות המנויות לעיל.</w:t>
      </w:r>
    </w:p>
    <w:p w:rsidR="002400CD" w:rsidRDefault="002400CD" w:rsidP="002400CD">
      <w:pPr>
        <w:spacing w:line="360" w:lineRule="auto"/>
        <w:jc w:val="both"/>
        <w:rPr>
          <w:rFonts w:cs="David"/>
          <w:sz w:val="24"/>
          <w:szCs w:val="24"/>
        </w:rPr>
      </w:pPr>
    </w:p>
    <w:p w:rsidR="002400CD" w:rsidRDefault="002400CD" w:rsidP="002400CD">
      <w:pPr>
        <w:numPr>
          <w:ilvl w:val="0"/>
          <w:numId w:val="1"/>
        </w:numPr>
        <w:spacing w:line="360" w:lineRule="auto"/>
        <w:jc w:val="both"/>
        <w:rPr>
          <w:rFonts w:cs="David"/>
          <w:b/>
          <w:bCs/>
          <w:sz w:val="24"/>
          <w:szCs w:val="24"/>
        </w:rPr>
      </w:pPr>
      <w:r w:rsidRPr="00D02DAB">
        <w:rPr>
          <w:rFonts w:cs="David" w:hint="cs"/>
          <w:b/>
          <w:bCs/>
          <w:sz w:val="24"/>
          <w:szCs w:val="24"/>
          <w:rtl/>
        </w:rPr>
        <w:t>מדיניות התביעה בהגשת כתבי אישום</w:t>
      </w:r>
    </w:p>
    <w:p w:rsidR="002400CD" w:rsidRDefault="002400CD" w:rsidP="00771CC1">
      <w:pPr>
        <w:numPr>
          <w:ilvl w:val="0"/>
          <w:numId w:val="3"/>
        </w:numPr>
        <w:spacing w:line="360" w:lineRule="auto"/>
        <w:jc w:val="both"/>
        <w:rPr>
          <w:rFonts w:cs="David"/>
          <w:sz w:val="24"/>
          <w:szCs w:val="24"/>
        </w:rPr>
      </w:pPr>
      <w:r>
        <w:rPr>
          <w:rFonts w:cs="David" w:hint="cs"/>
          <w:sz w:val="24"/>
          <w:szCs w:val="24"/>
          <w:rtl/>
        </w:rPr>
        <w:t>ככלל, הגש</w:t>
      </w:r>
      <w:r w:rsidR="00663ED2">
        <w:rPr>
          <w:rFonts w:cs="David" w:hint="cs"/>
          <w:sz w:val="24"/>
          <w:szCs w:val="24"/>
          <w:rtl/>
        </w:rPr>
        <w:t>ת כתב אישום בעבירה של הלבנת הון</w:t>
      </w:r>
      <w:r>
        <w:rPr>
          <w:rFonts w:cs="David" w:hint="cs"/>
          <w:sz w:val="24"/>
          <w:szCs w:val="24"/>
          <w:rtl/>
        </w:rPr>
        <w:t xml:space="preserve"> דורשת </w:t>
      </w:r>
      <w:r w:rsidR="00871821">
        <w:rPr>
          <w:rFonts w:cs="David" w:hint="cs"/>
          <w:sz w:val="24"/>
          <w:szCs w:val="24"/>
          <w:rtl/>
        </w:rPr>
        <w:t xml:space="preserve">פגיעה </w:t>
      </w:r>
      <w:r w:rsidR="00BC3034">
        <w:rPr>
          <w:rFonts w:cs="David" w:hint="cs"/>
          <w:sz w:val="24"/>
          <w:szCs w:val="24"/>
          <w:rtl/>
        </w:rPr>
        <w:t>ב</w:t>
      </w:r>
      <w:r>
        <w:rPr>
          <w:rFonts w:cs="David" w:hint="cs"/>
          <w:sz w:val="24"/>
          <w:szCs w:val="24"/>
          <w:rtl/>
        </w:rPr>
        <w:t>ערך מוגן נוסף פרט ל</w:t>
      </w:r>
      <w:r w:rsidR="00771CC1">
        <w:rPr>
          <w:rFonts w:cs="David" w:hint="cs"/>
          <w:sz w:val="24"/>
          <w:szCs w:val="24"/>
          <w:rtl/>
        </w:rPr>
        <w:t>ע</w:t>
      </w:r>
      <w:r w:rsidR="00AD4DFE">
        <w:rPr>
          <w:rFonts w:cs="David" w:hint="cs"/>
          <w:sz w:val="24"/>
          <w:szCs w:val="24"/>
          <w:rtl/>
        </w:rPr>
        <w:t>בירת המקור</w:t>
      </w:r>
      <w:r>
        <w:rPr>
          <w:rFonts w:cs="David" w:hint="cs"/>
          <w:sz w:val="24"/>
          <w:szCs w:val="24"/>
          <w:rtl/>
        </w:rPr>
        <w:t>.</w:t>
      </w:r>
    </w:p>
    <w:p w:rsidR="002400CD" w:rsidRDefault="00871821" w:rsidP="00871821">
      <w:pPr>
        <w:numPr>
          <w:ilvl w:val="0"/>
          <w:numId w:val="3"/>
        </w:numPr>
        <w:spacing w:line="360" w:lineRule="auto"/>
        <w:jc w:val="both"/>
        <w:rPr>
          <w:rFonts w:cs="David"/>
          <w:sz w:val="24"/>
          <w:szCs w:val="24"/>
        </w:rPr>
      </w:pPr>
      <w:r>
        <w:rPr>
          <w:rFonts w:cs="David" w:hint="cs"/>
          <w:sz w:val="24"/>
          <w:szCs w:val="24"/>
          <w:rtl/>
        </w:rPr>
        <w:t>הפגיעה ב</w:t>
      </w:r>
      <w:r w:rsidR="002400CD">
        <w:rPr>
          <w:rFonts w:cs="David" w:hint="cs"/>
          <w:sz w:val="24"/>
          <w:szCs w:val="24"/>
          <w:rtl/>
        </w:rPr>
        <w:t xml:space="preserve">ערך המוגן </w:t>
      </w:r>
      <w:r>
        <w:rPr>
          <w:rFonts w:cs="David" w:hint="cs"/>
          <w:sz w:val="24"/>
          <w:szCs w:val="24"/>
          <w:rtl/>
        </w:rPr>
        <w:t>בחוק איסור הלבנת הון עשויה לבוא לידי ביטוי ב</w:t>
      </w:r>
      <w:r w:rsidR="002400CD">
        <w:rPr>
          <w:rFonts w:cs="David" w:hint="cs"/>
          <w:sz w:val="24"/>
          <w:szCs w:val="24"/>
          <w:rtl/>
        </w:rPr>
        <w:t xml:space="preserve">הסתרה והסוואת </w:t>
      </w:r>
      <w:r>
        <w:rPr>
          <w:rFonts w:cs="David" w:hint="cs"/>
          <w:sz w:val="24"/>
          <w:szCs w:val="24"/>
          <w:rtl/>
        </w:rPr>
        <w:t xml:space="preserve">של הכספים נשוא עבירות המס, מיקומם, זהות הבעלים האמיתי שלהם ועוד. הדבר </w:t>
      </w:r>
      <w:r w:rsidR="002400CD">
        <w:rPr>
          <w:rFonts w:cs="David" w:hint="cs"/>
          <w:sz w:val="24"/>
          <w:szCs w:val="24"/>
          <w:rtl/>
        </w:rPr>
        <w:t xml:space="preserve"> יכול לבוא לידי ביטוי, למשל, </w:t>
      </w:r>
      <w:r>
        <w:rPr>
          <w:rFonts w:cs="David" w:hint="cs"/>
          <w:sz w:val="24"/>
          <w:szCs w:val="24"/>
          <w:rtl/>
        </w:rPr>
        <w:t xml:space="preserve">בהפקדת </w:t>
      </w:r>
      <w:r w:rsidR="002400CD">
        <w:rPr>
          <w:rFonts w:cs="David" w:hint="cs"/>
          <w:sz w:val="24"/>
          <w:szCs w:val="24"/>
          <w:rtl/>
        </w:rPr>
        <w:t>כספי המס שהועלמו לחשבונות על שם אנשים אחרים, לחשבונות בחו"ל, שימוש באנשי קש או בחברות קש, הקמת ישויות משפטיו</w:t>
      </w:r>
      <w:r w:rsidR="009076FE">
        <w:rPr>
          <w:rFonts w:cs="David" w:hint="cs"/>
          <w:sz w:val="24"/>
          <w:szCs w:val="24"/>
          <w:rtl/>
        </w:rPr>
        <w:t xml:space="preserve">ת מורכבות, </w:t>
      </w:r>
      <w:r w:rsidR="009076FE">
        <w:rPr>
          <w:rFonts w:cs="David" w:hint="cs"/>
          <w:sz w:val="24"/>
          <w:szCs w:val="24"/>
          <w:rtl/>
        </w:rPr>
        <w:lastRenderedPageBreak/>
        <w:t>ניצול המערכת הפיננסית</w:t>
      </w:r>
      <w:r w:rsidR="002400CD">
        <w:rPr>
          <w:rFonts w:cs="David" w:hint="cs"/>
          <w:sz w:val="24"/>
          <w:szCs w:val="24"/>
          <w:rtl/>
        </w:rPr>
        <w:t xml:space="preserve"> או העסקית לצורך הסוואת מקור הרכוש</w:t>
      </w:r>
      <w:r>
        <w:rPr>
          <w:rFonts w:cs="David" w:hint="cs"/>
          <w:sz w:val="24"/>
          <w:szCs w:val="24"/>
          <w:rtl/>
        </w:rPr>
        <w:t>, ערבובם בעסק אחר</w:t>
      </w:r>
      <w:r w:rsidR="002400CD">
        <w:rPr>
          <w:rFonts w:cs="David" w:hint="cs"/>
          <w:sz w:val="24"/>
          <w:szCs w:val="24"/>
          <w:rtl/>
        </w:rPr>
        <w:t xml:space="preserve"> ועוד.</w:t>
      </w:r>
    </w:p>
    <w:p w:rsidR="00F35729" w:rsidRPr="00F35729" w:rsidRDefault="002400CD" w:rsidP="00805A83">
      <w:pPr>
        <w:numPr>
          <w:ilvl w:val="0"/>
          <w:numId w:val="3"/>
        </w:numPr>
        <w:spacing w:line="360" w:lineRule="auto"/>
        <w:jc w:val="both"/>
        <w:rPr>
          <w:rFonts w:cs="David"/>
          <w:sz w:val="24"/>
          <w:szCs w:val="24"/>
        </w:rPr>
      </w:pPr>
      <w:r w:rsidRPr="00196F4F">
        <w:rPr>
          <w:rFonts w:cs="David" w:hint="cs"/>
          <w:sz w:val="24"/>
          <w:szCs w:val="24"/>
          <w:rtl/>
        </w:rPr>
        <w:t xml:space="preserve">לפיכך, על אף שהגדרת "פעולה ברכוש" כוללת החזקה (ראו סעיף 1 לחוק איסור הלבנת הון), אין </w:t>
      </w:r>
      <w:r w:rsidR="00147269" w:rsidRPr="00196F4F">
        <w:rPr>
          <w:rFonts w:cs="David" w:hint="cs"/>
          <w:sz w:val="24"/>
          <w:szCs w:val="24"/>
          <w:rtl/>
        </w:rPr>
        <w:t xml:space="preserve">ככלל </w:t>
      </w:r>
      <w:r w:rsidRPr="00196F4F">
        <w:rPr>
          <w:rFonts w:cs="David" w:hint="cs"/>
          <w:sz w:val="24"/>
          <w:szCs w:val="24"/>
          <w:rtl/>
        </w:rPr>
        <w:t xml:space="preserve">מקום </w:t>
      </w:r>
      <w:r w:rsidR="00321895">
        <w:rPr>
          <w:rFonts w:cs="David" w:hint="cs"/>
          <w:sz w:val="24"/>
          <w:szCs w:val="24"/>
          <w:rtl/>
        </w:rPr>
        <w:t xml:space="preserve">להגיש כתב </w:t>
      </w:r>
      <w:r w:rsidR="00321895" w:rsidRPr="00A016C6">
        <w:rPr>
          <w:rFonts w:cs="David" w:hint="cs"/>
          <w:sz w:val="24"/>
          <w:szCs w:val="24"/>
          <w:rtl/>
        </w:rPr>
        <w:t xml:space="preserve">אישום בעבירה </w:t>
      </w:r>
      <w:r w:rsidR="00B371C5" w:rsidRPr="00A016C6">
        <w:rPr>
          <w:rFonts w:cs="David" w:hint="cs"/>
          <w:sz w:val="24"/>
          <w:szCs w:val="24"/>
          <w:rtl/>
        </w:rPr>
        <w:t>לפי סעיף 4</w:t>
      </w:r>
      <w:r w:rsidRPr="00A016C6">
        <w:rPr>
          <w:rFonts w:cs="David" w:hint="cs"/>
          <w:sz w:val="24"/>
          <w:szCs w:val="24"/>
          <w:rtl/>
        </w:rPr>
        <w:t xml:space="preserve"> </w:t>
      </w:r>
      <w:r w:rsidR="00810F2D" w:rsidRPr="00A016C6">
        <w:rPr>
          <w:rFonts w:cs="David" w:hint="cs"/>
          <w:sz w:val="24"/>
          <w:szCs w:val="24"/>
          <w:rtl/>
        </w:rPr>
        <w:t xml:space="preserve">לחוק </w:t>
      </w:r>
      <w:r w:rsidR="00963327" w:rsidRPr="00A016C6">
        <w:rPr>
          <w:rFonts w:cs="David" w:hint="cs"/>
          <w:sz w:val="24"/>
          <w:szCs w:val="24"/>
          <w:rtl/>
        </w:rPr>
        <w:t>איסור ה</w:t>
      </w:r>
      <w:r w:rsidR="00963327">
        <w:rPr>
          <w:rFonts w:cs="David" w:hint="cs"/>
          <w:sz w:val="24"/>
          <w:szCs w:val="24"/>
          <w:rtl/>
        </w:rPr>
        <w:t xml:space="preserve">לבנת הון </w:t>
      </w:r>
      <w:r w:rsidR="00196F4F">
        <w:rPr>
          <w:rFonts w:cs="David" w:hint="cs"/>
          <w:sz w:val="24"/>
          <w:szCs w:val="24"/>
          <w:rtl/>
        </w:rPr>
        <w:t xml:space="preserve">נגד </w:t>
      </w:r>
      <w:r w:rsidR="004E592B">
        <w:rPr>
          <w:rFonts w:cs="David" w:hint="cs"/>
          <w:sz w:val="24"/>
          <w:szCs w:val="24"/>
          <w:rtl/>
        </w:rPr>
        <w:t>מבצע עבירת המקור</w:t>
      </w:r>
      <w:r w:rsidR="00196F4F">
        <w:rPr>
          <w:rFonts w:cs="David" w:hint="cs"/>
          <w:sz w:val="24"/>
          <w:szCs w:val="24"/>
          <w:rtl/>
        </w:rPr>
        <w:t xml:space="preserve">, בגין עצם החזקת הרכוש, למעט במקרים חריגים, </w:t>
      </w:r>
      <w:r w:rsidR="005C679C">
        <w:rPr>
          <w:rFonts w:cs="David" w:hint="cs"/>
          <w:sz w:val="24"/>
          <w:szCs w:val="24"/>
          <w:rtl/>
        </w:rPr>
        <w:t xml:space="preserve">באישור פרקליט מחוז, </w:t>
      </w:r>
      <w:r w:rsidR="00196F4F">
        <w:rPr>
          <w:rFonts w:cs="David" w:hint="cs"/>
          <w:sz w:val="24"/>
          <w:szCs w:val="24"/>
          <w:rtl/>
        </w:rPr>
        <w:t xml:space="preserve">לדוגמא: </w:t>
      </w:r>
    </w:p>
    <w:p w:rsidR="00196F4F" w:rsidRDefault="00196F4F" w:rsidP="00196F4F">
      <w:pPr>
        <w:numPr>
          <w:ilvl w:val="1"/>
          <w:numId w:val="7"/>
        </w:numPr>
        <w:spacing w:line="360" w:lineRule="auto"/>
        <w:jc w:val="both"/>
        <w:rPr>
          <w:rFonts w:cs="David"/>
          <w:sz w:val="24"/>
          <w:szCs w:val="24"/>
        </w:rPr>
      </w:pPr>
      <w:r>
        <w:rPr>
          <w:rFonts w:cs="David" w:hint="cs"/>
          <w:sz w:val="24"/>
          <w:szCs w:val="24"/>
          <w:rtl/>
        </w:rPr>
        <w:t xml:space="preserve">כאשר החזקת הרכוש בוצעה בנסיבות </w:t>
      </w:r>
      <w:r w:rsidR="00F35729">
        <w:rPr>
          <w:rFonts w:cs="David" w:hint="cs"/>
          <w:sz w:val="24"/>
          <w:szCs w:val="24"/>
          <w:rtl/>
        </w:rPr>
        <w:t>שיש בהן משום פעולת הסתרה מובהקת.</w:t>
      </w:r>
      <w:r>
        <w:rPr>
          <w:rFonts w:cs="David" w:hint="cs"/>
          <w:sz w:val="24"/>
          <w:szCs w:val="24"/>
          <w:rtl/>
        </w:rPr>
        <w:t xml:space="preserve"> </w:t>
      </w:r>
    </w:p>
    <w:p w:rsidR="00F35729" w:rsidRDefault="004A713B" w:rsidP="00196F4F">
      <w:pPr>
        <w:numPr>
          <w:ilvl w:val="1"/>
          <w:numId w:val="7"/>
        </w:numPr>
        <w:spacing w:line="360" w:lineRule="auto"/>
        <w:jc w:val="both"/>
        <w:rPr>
          <w:rFonts w:cs="David"/>
          <w:sz w:val="24"/>
          <w:szCs w:val="24"/>
        </w:rPr>
      </w:pPr>
      <w:r>
        <w:rPr>
          <w:rFonts w:cs="David" w:hint="cs"/>
          <w:sz w:val="24"/>
          <w:szCs w:val="24"/>
          <w:rtl/>
        </w:rPr>
        <w:t xml:space="preserve">כאשר </w:t>
      </w:r>
      <w:r w:rsidR="00F35729">
        <w:rPr>
          <w:rFonts w:cs="David" w:hint="cs"/>
          <w:sz w:val="24"/>
          <w:szCs w:val="24"/>
          <w:rtl/>
        </w:rPr>
        <w:t>עב</w:t>
      </w:r>
      <w:r>
        <w:rPr>
          <w:rFonts w:cs="David" w:hint="cs"/>
          <w:sz w:val="24"/>
          <w:szCs w:val="24"/>
          <w:rtl/>
        </w:rPr>
        <w:t>ירת המקור</w:t>
      </w:r>
      <w:r w:rsidR="00601ABC">
        <w:rPr>
          <w:rFonts w:cs="David" w:hint="cs"/>
          <w:sz w:val="24"/>
          <w:szCs w:val="24"/>
          <w:rtl/>
        </w:rPr>
        <w:t xml:space="preserve"> נעשתה בזיקה לארגון פשיעה, </w:t>
      </w:r>
      <w:r w:rsidR="00F35729">
        <w:rPr>
          <w:rFonts w:cs="David" w:hint="cs"/>
          <w:sz w:val="24"/>
          <w:szCs w:val="24"/>
          <w:rtl/>
        </w:rPr>
        <w:t>קשורה למימון טרור</w:t>
      </w:r>
      <w:r w:rsidR="00601ABC">
        <w:rPr>
          <w:rFonts w:cs="David" w:hint="cs"/>
          <w:sz w:val="24"/>
          <w:szCs w:val="24"/>
          <w:rtl/>
        </w:rPr>
        <w:t xml:space="preserve"> או לעבירה בדרגת חומרה מיוחדת אחרת</w:t>
      </w:r>
      <w:r w:rsidR="00F35729">
        <w:rPr>
          <w:rFonts w:cs="David" w:hint="cs"/>
          <w:sz w:val="24"/>
          <w:szCs w:val="24"/>
          <w:rtl/>
        </w:rPr>
        <w:t>.</w:t>
      </w:r>
    </w:p>
    <w:p w:rsidR="00196F4F" w:rsidRDefault="00196F4F" w:rsidP="00196F4F">
      <w:pPr>
        <w:numPr>
          <w:ilvl w:val="1"/>
          <w:numId w:val="7"/>
        </w:numPr>
        <w:spacing w:line="360" w:lineRule="auto"/>
        <w:jc w:val="both"/>
        <w:rPr>
          <w:rFonts w:cs="David"/>
          <w:sz w:val="24"/>
          <w:szCs w:val="24"/>
        </w:rPr>
      </w:pPr>
      <w:r>
        <w:rPr>
          <w:rFonts w:cs="David" w:hint="cs"/>
          <w:sz w:val="24"/>
          <w:szCs w:val="24"/>
          <w:rtl/>
        </w:rPr>
        <w:t>כאשר האופן שבו הוחזק הרכוש מקשה על שיוכו לעבריין שביצע את עבירת המקור, למשל כאשר ההחזקה מבוצעת יחד עם אחר.</w:t>
      </w:r>
    </w:p>
    <w:p w:rsidR="00F35729" w:rsidRDefault="00F35729" w:rsidP="00752EE2">
      <w:pPr>
        <w:numPr>
          <w:ilvl w:val="1"/>
          <w:numId w:val="7"/>
        </w:numPr>
        <w:spacing w:line="360" w:lineRule="auto"/>
        <w:jc w:val="both"/>
        <w:rPr>
          <w:rFonts w:cs="David"/>
          <w:sz w:val="24"/>
          <w:szCs w:val="24"/>
        </w:rPr>
      </w:pPr>
      <w:r>
        <w:rPr>
          <w:rFonts w:cs="David" w:hint="cs"/>
          <w:sz w:val="24"/>
          <w:szCs w:val="24"/>
          <w:rtl/>
        </w:rPr>
        <w:t xml:space="preserve">כאשר </w:t>
      </w:r>
      <w:r w:rsidR="00B371C5">
        <w:rPr>
          <w:rFonts w:cs="David" w:hint="cs"/>
          <w:sz w:val="24"/>
          <w:szCs w:val="24"/>
          <w:rtl/>
        </w:rPr>
        <w:t xml:space="preserve">לא ניתן להעמיד לדין בעבירת המקור (למשל </w:t>
      </w:r>
      <w:r w:rsidR="00752EE2">
        <w:rPr>
          <w:rFonts w:cs="David" w:hint="cs"/>
          <w:sz w:val="24"/>
          <w:szCs w:val="24"/>
          <w:rtl/>
        </w:rPr>
        <w:t>בשל התיישנות ,</w:t>
      </w:r>
      <w:r w:rsidR="00B371C5">
        <w:rPr>
          <w:rFonts w:cs="David" w:hint="cs"/>
          <w:sz w:val="24"/>
          <w:szCs w:val="24"/>
          <w:rtl/>
        </w:rPr>
        <w:t>אי כשירות לעמידה לדין וכו')</w:t>
      </w:r>
      <w:r>
        <w:rPr>
          <w:rFonts w:cs="David" w:hint="cs"/>
          <w:sz w:val="24"/>
          <w:szCs w:val="24"/>
          <w:rtl/>
        </w:rPr>
        <w:t>.</w:t>
      </w:r>
    </w:p>
    <w:p w:rsidR="002400CD" w:rsidRDefault="00196F4F" w:rsidP="00805A83">
      <w:pPr>
        <w:numPr>
          <w:ilvl w:val="0"/>
          <w:numId w:val="3"/>
        </w:numPr>
        <w:spacing w:line="360" w:lineRule="auto"/>
        <w:jc w:val="both"/>
        <w:rPr>
          <w:rFonts w:cs="David"/>
          <w:sz w:val="24"/>
          <w:szCs w:val="24"/>
        </w:rPr>
      </w:pPr>
      <w:r>
        <w:rPr>
          <w:rFonts w:cs="David" w:hint="cs"/>
          <w:sz w:val="24"/>
          <w:szCs w:val="24"/>
          <w:rtl/>
        </w:rPr>
        <w:t xml:space="preserve">בנוגע לעבירת מס כעבירת מקור, </w:t>
      </w:r>
      <w:r w:rsidR="001A7741">
        <w:rPr>
          <w:rFonts w:cs="David" w:hint="cs"/>
          <w:sz w:val="24"/>
          <w:szCs w:val="24"/>
          <w:rtl/>
        </w:rPr>
        <w:t xml:space="preserve">שאינה קשורה לרכוש אסור אחר, </w:t>
      </w:r>
      <w:r w:rsidR="009E02CB" w:rsidRPr="00196F4F">
        <w:rPr>
          <w:rFonts w:cs="David" w:hint="cs"/>
          <w:sz w:val="24"/>
          <w:szCs w:val="24"/>
          <w:rtl/>
        </w:rPr>
        <w:t xml:space="preserve">אין ככלל מקום </w:t>
      </w:r>
      <w:r w:rsidR="009E02CB">
        <w:rPr>
          <w:rFonts w:cs="David" w:hint="cs"/>
          <w:sz w:val="24"/>
          <w:szCs w:val="24"/>
          <w:rtl/>
        </w:rPr>
        <w:t xml:space="preserve">להגיש כתב </w:t>
      </w:r>
      <w:r w:rsidR="009E02CB" w:rsidRPr="00A016C6">
        <w:rPr>
          <w:rFonts w:cs="David" w:hint="cs"/>
          <w:sz w:val="24"/>
          <w:szCs w:val="24"/>
          <w:rtl/>
        </w:rPr>
        <w:t xml:space="preserve">אישום בעבירה לפי סעיף 4 לחוק איסור הלבנת הון </w:t>
      </w:r>
      <w:r w:rsidR="00366C87" w:rsidRPr="00A016C6">
        <w:rPr>
          <w:rFonts w:cs="David" w:hint="cs"/>
          <w:sz w:val="24"/>
          <w:szCs w:val="24"/>
          <w:rtl/>
        </w:rPr>
        <w:t>נגד</w:t>
      </w:r>
      <w:r w:rsidR="00366C87">
        <w:rPr>
          <w:rFonts w:cs="David" w:hint="cs"/>
          <w:sz w:val="24"/>
          <w:szCs w:val="24"/>
          <w:rtl/>
        </w:rPr>
        <w:t xml:space="preserve"> מעלים המס </w:t>
      </w:r>
      <w:r w:rsidR="002400CD" w:rsidRPr="00196F4F">
        <w:rPr>
          <w:rFonts w:cs="David" w:hint="cs"/>
          <w:sz w:val="24"/>
          <w:szCs w:val="24"/>
          <w:rtl/>
        </w:rPr>
        <w:t xml:space="preserve">כאשר הפעולה ברכוש של מעלים המס </w:t>
      </w:r>
      <w:r w:rsidR="00432BA6" w:rsidRPr="00196F4F">
        <w:rPr>
          <w:rFonts w:cs="David" w:hint="cs"/>
          <w:sz w:val="24"/>
          <w:szCs w:val="24"/>
          <w:rtl/>
        </w:rPr>
        <w:t xml:space="preserve">מתמצית </w:t>
      </w:r>
      <w:r w:rsidR="00030D77">
        <w:rPr>
          <w:rFonts w:cs="David" w:hint="cs"/>
          <w:sz w:val="24"/>
          <w:szCs w:val="24"/>
          <w:rtl/>
        </w:rPr>
        <w:t>ב</w:t>
      </w:r>
      <w:r w:rsidR="00366C87">
        <w:rPr>
          <w:rFonts w:cs="David" w:hint="cs"/>
          <w:sz w:val="24"/>
          <w:szCs w:val="24"/>
          <w:rtl/>
        </w:rPr>
        <w:t>המשך החזקת</w:t>
      </w:r>
      <w:r w:rsidR="001A7741">
        <w:rPr>
          <w:rFonts w:cs="David" w:hint="cs"/>
          <w:sz w:val="24"/>
          <w:szCs w:val="24"/>
          <w:rtl/>
        </w:rPr>
        <w:t xml:space="preserve"> ההכנסה שהועלמה</w:t>
      </w:r>
      <w:r w:rsidR="00366C87">
        <w:rPr>
          <w:rFonts w:cs="David" w:hint="cs"/>
          <w:sz w:val="24"/>
          <w:szCs w:val="24"/>
          <w:rtl/>
        </w:rPr>
        <w:t xml:space="preserve"> </w:t>
      </w:r>
      <w:r w:rsidR="00432BA6" w:rsidRPr="00196F4F">
        <w:rPr>
          <w:rFonts w:cs="David" w:hint="cs"/>
          <w:sz w:val="24"/>
          <w:szCs w:val="24"/>
          <w:rtl/>
        </w:rPr>
        <w:t>ב</w:t>
      </w:r>
      <w:r w:rsidR="002400CD" w:rsidRPr="00196F4F">
        <w:rPr>
          <w:rFonts w:cs="David" w:hint="cs"/>
          <w:sz w:val="24"/>
          <w:szCs w:val="24"/>
          <w:rtl/>
        </w:rPr>
        <w:t>חשבון הבנק</w:t>
      </w:r>
      <w:r w:rsidR="001A7741">
        <w:rPr>
          <w:rFonts w:cs="David" w:hint="cs"/>
          <w:sz w:val="24"/>
          <w:szCs w:val="24"/>
          <w:rtl/>
        </w:rPr>
        <w:t xml:space="preserve"> בישראל </w:t>
      </w:r>
      <w:r w:rsidR="00147269" w:rsidRPr="00196F4F">
        <w:rPr>
          <w:rFonts w:cs="David" w:hint="cs"/>
          <w:sz w:val="24"/>
          <w:szCs w:val="24"/>
          <w:rtl/>
        </w:rPr>
        <w:t>על שם</w:t>
      </w:r>
      <w:r w:rsidR="00366C87">
        <w:rPr>
          <w:rFonts w:cs="David" w:hint="cs"/>
          <w:sz w:val="24"/>
          <w:szCs w:val="24"/>
          <w:rtl/>
        </w:rPr>
        <w:t xml:space="preserve"> מי שהפיק א</w:t>
      </w:r>
      <w:r w:rsidR="001A7741">
        <w:rPr>
          <w:rFonts w:cs="David" w:hint="cs"/>
          <w:sz w:val="24"/>
          <w:szCs w:val="24"/>
          <w:rtl/>
        </w:rPr>
        <w:t>ת ההכנסה</w:t>
      </w:r>
      <w:r w:rsidR="00175A66">
        <w:rPr>
          <w:rFonts w:cs="David" w:hint="cs"/>
          <w:sz w:val="24"/>
          <w:szCs w:val="24"/>
          <w:rtl/>
        </w:rPr>
        <w:t xml:space="preserve"> [או על שם העסק שלו]</w:t>
      </w:r>
      <w:r w:rsidR="002400CD" w:rsidRPr="00196F4F">
        <w:rPr>
          <w:rFonts w:cs="David" w:hint="cs"/>
          <w:sz w:val="24"/>
          <w:szCs w:val="24"/>
          <w:rtl/>
        </w:rPr>
        <w:t xml:space="preserve">. </w:t>
      </w:r>
      <w:r w:rsidR="001A7741">
        <w:rPr>
          <w:rFonts w:cs="David" w:hint="cs"/>
          <w:sz w:val="24"/>
          <w:szCs w:val="24"/>
          <w:rtl/>
        </w:rPr>
        <w:t>והכל בכפוף לסייגים המפורטים בסעיף 3 לעיל.</w:t>
      </w:r>
    </w:p>
    <w:p w:rsidR="00217351" w:rsidRPr="008E0746" w:rsidRDefault="00217351" w:rsidP="00960967">
      <w:pPr>
        <w:numPr>
          <w:ilvl w:val="0"/>
          <w:numId w:val="3"/>
        </w:numPr>
        <w:spacing w:line="360" w:lineRule="auto"/>
        <w:jc w:val="both"/>
        <w:rPr>
          <w:rFonts w:cs="David"/>
          <w:sz w:val="24"/>
          <w:szCs w:val="24"/>
        </w:rPr>
      </w:pPr>
      <w:r w:rsidRPr="008E0746">
        <w:rPr>
          <w:rFonts w:cs="David"/>
          <w:sz w:val="24"/>
          <w:szCs w:val="24"/>
          <w:rtl/>
        </w:rPr>
        <w:t>מדיניות הפרקליטות הינה ככלל</w:t>
      </w:r>
      <w:r w:rsidRPr="008E0746">
        <w:rPr>
          <w:rFonts w:cs="David" w:hint="cs"/>
          <w:sz w:val="24"/>
          <w:szCs w:val="24"/>
          <w:rtl/>
        </w:rPr>
        <w:t>,</w:t>
      </w:r>
      <w:r w:rsidRPr="008E0746">
        <w:rPr>
          <w:rFonts w:cs="David"/>
          <w:sz w:val="24"/>
          <w:szCs w:val="24"/>
          <w:rtl/>
        </w:rPr>
        <w:t xml:space="preserve"> שלא </w:t>
      </w:r>
      <w:r w:rsidRPr="00A016C6">
        <w:rPr>
          <w:rFonts w:cs="David"/>
          <w:sz w:val="24"/>
          <w:szCs w:val="24"/>
          <w:rtl/>
        </w:rPr>
        <w:t>להעמיד לדין בעבירה לפי סעיף 4 לחוק איסור</w:t>
      </w:r>
      <w:r w:rsidRPr="008E0746">
        <w:rPr>
          <w:rFonts w:cs="David"/>
          <w:sz w:val="24"/>
          <w:szCs w:val="24"/>
          <w:rtl/>
        </w:rPr>
        <w:t xml:space="preserve"> הלבנת הון בגין "פעולה ברכוש" שעשה אדם, מקום שמדובר ברכוש אסור שמקורו עביר</w:t>
      </w:r>
      <w:r w:rsidR="00960967">
        <w:rPr>
          <w:rFonts w:cs="David" w:hint="cs"/>
          <w:sz w:val="24"/>
          <w:szCs w:val="24"/>
          <w:rtl/>
        </w:rPr>
        <w:t>ו</w:t>
      </w:r>
      <w:r w:rsidRPr="008E0746">
        <w:rPr>
          <w:rFonts w:cs="David"/>
          <w:sz w:val="24"/>
          <w:szCs w:val="24"/>
          <w:rtl/>
        </w:rPr>
        <w:t>ת מס בלבד, והפעולה הינה שימוש ברכוש זה לצריכה עצמית. יובהר, כי הדברים אמורים מקום שהפעולה אינה פוגעת באפשרות לאתר את המקור של הרכוש האסור</w:t>
      </w:r>
      <w:r w:rsidRPr="008E0746">
        <w:rPr>
          <w:rFonts w:cs="David" w:hint="cs"/>
          <w:sz w:val="24"/>
          <w:szCs w:val="24"/>
          <w:rtl/>
        </w:rPr>
        <w:t>.</w:t>
      </w:r>
    </w:p>
    <w:p w:rsidR="002400CD" w:rsidRDefault="002400CD" w:rsidP="00321895">
      <w:pPr>
        <w:numPr>
          <w:ilvl w:val="0"/>
          <w:numId w:val="3"/>
        </w:numPr>
        <w:spacing w:line="360" w:lineRule="auto"/>
        <w:jc w:val="both"/>
        <w:rPr>
          <w:rFonts w:cs="David"/>
          <w:sz w:val="24"/>
          <w:szCs w:val="24"/>
        </w:rPr>
      </w:pPr>
      <w:r w:rsidRPr="008E0746">
        <w:rPr>
          <w:rFonts w:cs="David" w:hint="cs"/>
          <w:sz w:val="24"/>
          <w:szCs w:val="24"/>
          <w:rtl/>
        </w:rPr>
        <w:t>יודגש כי מדיניות אכיפה זו נוגעת</w:t>
      </w:r>
      <w:r>
        <w:rPr>
          <w:rFonts w:cs="David" w:hint="cs"/>
          <w:sz w:val="24"/>
          <w:szCs w:val="24"/>
          <w:rtl/>
        </w:rPr>
        <w:t xml:space="preserve"> למצבים בהם הלבנת ההון היא עצמית</w:t>
      </w:r>
      <w:r w:rsidR="00871821">
        <w:rPr>
          <w:rFonts w:cs="David" w:hint="cs"/>
          <w:sz w:val="24"/>
          <w:szCs w:val="24"/>
          <w:rtl/>
        </w:rPr>
        <w:t xml:space="preserve"> (</w:t>
      </w:r>
      <w:r w:rsidR="00871821">
        <w:rPr>
          <w:rFonts w:cs="David"/>
          <w:sz w:val="24"/>
          <w:szCs w:val="24"/>
        </w:rPr>
        <w:t>self</w:t>
      </w:r>
      <w:r w:rsidR="00175A66">
        <w:rPr>
          <w:rFonts w:cs="David"/>
          <w:sz w:val="24"/>
          <w:szCs w:val="24"/>
        </w:rPr>
        <w:t>-</w:t>
      </w:r>
      <w:r w:rsidR="00871821">
        <w:rPr>
          <w:rFonts w:cs="David"/>
          <w:sz w:val="24"/>
          <w:szCs w:val="24"/>
        </w:rPr>
        <w:t>launderi</w:t>
      </w:r>
      <w:r w:rsidR="009076FE">
        <w:rPr>
          <w:rFonts w:cs="David"/>
          <w:sz w:val="24"/>
          <w:szCs w:val="24"/>
        </w:rPr>
        <w:t>n</w:t>
      </w:r>
      <w:r w:rsidR="00871821">
        <w:rPr>
          <w:rFonts w:cs="David"/>
          <w:sz w:val="24"/>
          <w:szCs w:val="24"/>
        </w:rPr>
        <w:t>g</w:t>
      </w:r>
      <w:r w:rsidR="00871821">
        <w:rPr>
          <w:rFonts w:cs="David" w:hint="cs"/>
          <w:sz w:val="24"/>
          <w:szCs w:val="24"/>
          <w:rtl/>
        </w:rPr>
        <w:t>)</w:t>
      </w:r>
      <w:r>
        <w:rPr>
          <w:rFonts w:cs="David" w:hint="cs"/>
          <w:sz w:val="24"/>
          <w:szCs w:val="24"/>
          <w:rtl/>
        </w:rPr>
        <w:t>, כלומר על ידי מעלים המס עצ</w:t>
      </w:r>
      <w:r w:rsidR="004E592B">
        <w:rPr>
          <w:rFonts w:cs="David" w:hint="cs"/>
          <w:sz w:val="24"/>
          <w:szCs w:val="24"/>
          <w:rtl/>
        </w:rPr>
        <w:t xml:space="preserve">מו, </w:t>
      </w:r>
      <w:r w:rsidR="00321895">
        <w:rPr>
          <w:rFonts w:cs="David"/>
          <w:sz w:val="24"/>
          <w:szCs w:val="24"/>
          <w:rtl/>
        </w:rPr>
        <w:t>ואינה נוגעת למצבים בהם פעולת הלבנ</w:t>
      </w:r>
      <w:r w:rsidR="00321895">
        <w:rPr>
          <w:rFonts w:cs="David" w:hint="cs"/>
          <w:sz w:val="24"/>
          <w:szCs w:val="24"/>
          <w:rtl/>
        </w:rPr>
        <w:t>ת ההון</w:t>
      </w:r>
      <w:r w:rsidR="00321895" w:rsidRPr="00321895">
        <w:rPr>
          <w:rFonts w:cs="David"/>
          <w:sz w:val="24"/>
          <w:szCs w:val="24"/>
          <w:rtl/>
        </w:rPr>
        <w:t xml:space="preserve"> מתבצעת על ידי צד ג</w:t>
      </w:r>
      <w:r w:rsidR="00321895">
        <w:rPr>
          <w:rFonts w:cs="David" w:hint="cs"/>
          <w:sz w:val="24"/>
          <w:szCs w:val="24"/>
          <w:rtl/>
        </w:rPr>
        <w:t>'</w:t>
      </w:r>
      <w:r>
        <w:rPr>
          <w:rFonts w:cs="David" w:hint="cs"/>
          <w:sz w:val="24"/>
          <w:szCs w:val="24"/>
          <w:rtl/>
        </w:rPr>
        <w:t>.</w:t>
      </w:r>
      <w:r w:rsidRPr="009E4685">
        <w:rPr>
          <w:rFonts w:cs="David" w:hint="cs"/>
          <w:sz w:val="24"/>
          <w:szCs w:val="24"/>
          <w:rtl/>
        </w:rPr>
        <w:t xml:space="preserve"> </w:t>
      </w:r>
      <w:r>
        <w:rPr>
          <w:rFonts w:cs="David" w:hint="cs"/>
          <w:sz w:val="24"/>
          <w:szCs w:val="24"/>
          <w:rtl/>
        </w:rPr>
        <w:t>הטעם לכך הוא שבמקרים</w:t>
      </w:r>
      <w:r w:rsidR="002C2B12">
        <w:rPr>
          <w:rFonts w:cs="David" w:hint="cs"/>
          <w:sz w:val="24"/>
          <w:szCs w:val="24"/>
          <w:rtl/>
        </w:rPr>
        <w:t xml:space="preserve"> של ה</w:t>
      </w:r>
      <w:r w:rsidR="00175A66">
        <w:rPr>
          <w:rFonts w:cs="David" w:hint="cs"/>
          <w:sz w:val="24"/>
          <w:szCs w:val="24"/>
          <w:rtl/>
        </w:rPr>
        <w:t>לבנה</w:t>
      </w:r>
      <w:r w:rsidR="002C2B12">
        <w:rPr>
          <w:rFonts w:cs="David" w:hint="cs"/>
          <w:sz w:val="24"/>
          <w:szCs w:val="24"/>
          <w:rtl/>
        </w:rPr>
        <w:t xml:space="preserve"> עצמית</w:t>
      </w:r>
      <w:r w:rsidR="009076FE">
        <w:rPr>
          <w:rFonts w:cs="David" w:hint="cs"/>
          <w:sz w:val="24"/>
          <w:szCs w:val="24"/>
          <w:rtl/>
        </w:rPr>
        <w:t>,</w:t>
      </w:r>
      <w:r w:rsidR="002C2B12">
        <w:rPr>
          <w:rFonts w:cs="David" w:hint="cs"/>
          <w:sz w:val="24"/>
          <w:szCs w:val="24"/>
          <w:rtl/>
        </w:rPr>
        <w:t xml:space="preserve"> כאשר קיימת זהות רבה בין דפוסי העלמת המס לדפוסי הלבנת ההון, </w:t>
      </w:r>
      <w:r w:rsidR="00871821">
        <w:rPr>
          <w:rFonts w:cs="David" w:hint="cs"/>
          <w:sz w:val="24"/>
          <w:szCs w:val="24"/>
          <w:rtl/>
        </w:rPr>
        <w:t>הפגיעה בערך המוגן הנפרד הינה מינ</w:t>
      </w:r>
      <w:r w:rsidR="009076FE">
        <w:rPr>
          <w:rFonts w:cs="David" w:hint="cs"/>
          <w:sz w:val="24"/>
          <w:szCs w:val="24"/>
          <w:rtl/>
        </w:rPr>
        <w:t>י</w:t>
      </w:r>
      <w:r w:rsidR="00871821">
        <w:rPr>
          <w:rFonts w:cs="David" w:hint="cs"/>
          <w:sz w:val="24"/>
          <w:szCs w:val="24"/>
          <w:rtl/>
        </w:rPr>
        <w:t>מאלית ולפיכך, ככלל, אין הצדקה לאישום נוסף הנוגע להלבנת כספים אלו.</w:t>
      </w:r>
    </w:p>
    <w:p w:rsidR="002400CD" w:rsidRDefault="002400CD" w:rsidP="002400CD">
      <w:pPr>
        <w:numPr>
          <w:ilvl w:val="0"/>
          <w:numId w:val="1"/>
        </w:numPr>
        <w:spacing w:line="360" w:lineRule="auto"/>
        <w:jc w:val="both"/>
        <w:rPr>
          <w:rFonts w:cs="David"/>
          <w:b/>
          <w:bCs/>
          <w:sz w:val="24"/>
          <w:szCs w:val="24"/>
        </w:rPr>
      </w:pPr>
      <w:r w:rsidRPr="00D02DAB">
        <w:rPr>
          <w:rFonts w:cs="David" w:hint="cs"/>
          <w:b/>
          <w:bCs/>
          <w:sz w:val="24"/>
          <w:szCs w:val="24"/>
          <w:rtl/>
        </w:rPr>
        <w:t>מדיניות התביעה בחילוט רכוש</w:t>
      </w:r>
    </w:p>
    <w:p w:rsidR="002400CD" w:rsidRDefault="002400CD" w:rsidP="009076FE">
      <w:pPr>
        <w:numPr>
          <w:ilvl w:val="0"/>
          <w:numId w:val="4"/>
        </w:numPr>
        <w:spacing w:line="360" w:lineRule="auto"/>
        <w:jc w:val="both"/>
        <w:rPr>
          <w:rFonts w:cs="David"/>
          <w:sz w:val="24"/>
          <w:szCs w:val="24"/>
        </w:rPr>
      </w:pPr>
      <w:r>
        <w:rPr>
          <w:rFonts w:cs="David" w:hint="cs"/>
          <w:sz w:val="24"/>
          <w:szCs w:val="24"/>
          <w:rtl/>
        </w:rPr>
        <w:t>הוראות החילוט בחוק איסור הלבנת הון מאפשרות לבקש את חילוט הרכוש של מלבין ההון בשווי רכוש ששימש לביצוע העבירה, איפשר את ביצוע העבירה, או שיועד לכך</w:t>
      </w:r>
      <w:r w:rsidR="005D5439">
        <w:rPr>
          <w:rFonts w:cs="David" w:hint="cs"/>
          <w:sz w:val="24"/>
          <w:szCs w:val="24"/>
          <w:rtl/>
        </w:rPr>
        <w:t xml:space="preserve"> (סעיף 21 לחוק</w:t>
      </w:r>
      <w:r w:rsidR="009076FE">
        <w:rPr>
          <w:rFonts w:cs="David" w:hint="cs"/>
          <w:sz w:val="24"/>
          <w:szCs w:val="24"/>
          <w:rtl/>
        </w:rPr>
        <w:t xml:space="preserve"> </w:t>
      </w:r>
      <w:r w:rsidR="009076FE">
        <w:rPr>
          <w:rFonts w:cs="David"/>
          <w:sz w:val="24"/>
          <w:szCs w:val="24"/>
          <w:rtl/>
        </w:rPr>
        <w:t>–</w:t>
      </w:r>
      <w:r w:rsidR="009076FE">
        <w:rPr>
          <w:rFonts w:cs="David" w:hint="cs"/>
          <w:sz w:val="24"/>
          <w:szCs w:val="24"/>
          <w:rtl/>
        </w:rPr>
        <w:t xml:space="preserve"> להביאו במלואו).</w:t>
      </w:r>
    </w:p>
    <w:p w:rsidR="002400CD" w:rsidRDefault="002400CD" w:rsidP="00FA54A0">
      <w:pPr>
        <w:numPr>
          <w:ilvl w:val="0"/>
          <w:numId w:val="4"/>
        </w:numPr>
        <w:spacing w:line="360" w:lineRule="auto"/>
        <w:jc w:val="both"/>
        <w:rPr>
          <w:rFonts w:cs="David"/>
          <w:sz w:val="24"/>
          <w:szCs w:val="24"/>
        </w:rPr>
      </w:pPr>
      <w:r>
        <w:rPr>
          <w:rFonts w:cs="David" w:hint="cs"/>
          <w:sz w:val="24"/>
          <w:szCs w:val="24"/>
          <w:rtl/>
        </w:rPr>
        <w:lastRenderedPageBreak/>
        <w:t>תפיסה זמנית של רכוש</w:t>
      </w:r>
      <w:r w:rsidR="00FA54A0">
        <w:rPr>
          <w:rFonts w:cs="David" w:hint="cs"/>
          <w:sz w:val="24"/>
          <w:szCs w:val="24"/>
          <w:rtl/>
        </w:rPr>
        <w:t xml:space="preserve"> יכול ותעשה בשלב החקירה על ידי שוטר לפי הוראות הפסד"פ בהפנייה מסעיף 26 לחוק איסור הלבנת הון, ובשלב מאוחר יותר לפי סעיף 23 לחוק איסור הלבנת הון המפנה לסמכויות שלפי פקודת הסמים המסוכנים, ב</w:t>
      </w:r>
      <w:r>
        <w:rPr>
          <w:rFonts w:cs="David" w:hint="cs"/>
          <w:sz w:val="24"/>
          <w:szCs w:val="24"/>
          <w:rtl/>
        </w:rPr>
        <w:t>אישור בכתב של פרקליט המחוז, כדי להבטיח כי תפיסה זו תיעשה בצורה מידתית על מנת שלא להשבית את העסק של החשוד מחד, ולאפשר חילוט רכוש בסוף ההליך מאידך.</w:t>
      </w:r>
    </w:p>
    <w:p w:rsidR="002400CD" w:rsidRPr="00727B67" w:rsidRDefault="00701389" w:rsidP="002312F7">
      <w:pPr>
        <w:numPr>
          <w:ilvl w:val="0"/>
          <w:numId w:val="4"/>
        </w:numPr>
        <w:spacing w:line="360" w:lineRule="auto"/>
        <w:jc w:val="both"/>
        <w:rPr>
          <w:rFonts w:cs="David"/>
          <w:sz w:val="24"/>
          <w:szCs w:val="24"/>
        </w:rPr>
      </w:pPr>
      <w:r w:rsidRPr="002312F7">
        <w:rPr>
          <w:rFonts w:cs="David" w:hint="cs"/>
          <w:sz w:val="24"/>
          <w:szCs w:val="24"/>
          <w:rtl/>
        </w:rPr>
        <w:t xml:space="preserve">במקרים בהם עורבב הרכוש שמקורו בעבירה ברכוש לגיטימי אחר הופך גם הרכוש הלגיטימי לרכוש אסור בר חילוט לפי סעיף 21 (ע"א 6212/14 </w:t>
      </w:r>
      <w:r w:rsidRPr="002312F7">
        <w:rPr>
          <w:rFonts w:cs="David" w:hint="cs"/>
          <w:i/>
          <w:iCs/>
          <w:sz w:val="24"/>
          <w:szCs w:val="24"/>
          <w:rtl/>
        </w:rPr>
        <w:t>מדינת ישראל נ' ג'סארי</w:t>
      </w:r>
      <w:r w:rsidRPr="002312F7">
        <w:rPr>
          <w:rFonts w:cs="David" w:hint="cs"/>
          <w:sz w:val="24"/>
          <w:szCs w:val="24"/>
          <w:rtl/>
        </w:rPr>
        <w:t xml:space="preserve">, ע"פ 2333/07 </w:t>
      </w:r>
      <w:r w:rsidRPr="002312F7">
        <w:rPr>
          <w:rFonts w:cs="David" w:hint="cs"/>
          <w:i/>
          <w:iCs/>
          <w:sz w:val="24"/>
          <w:szCs w:val="24"/>
          <w:rtl/>
        </w:rPr>
        <w:t>תענך</w:t>
      </w:r>
      <w:r w:rsidRPr="002312F7">
        <w:rPr>
          <w:rFonts w:cs="David" w:hint="cs"/>
          <w:sz w:val="24"/>
          <w:szCs w:val="24"/>
          <w:rtl/>
        </w:rPr>
        <w:t>). מובן כי סמכות זו של פרקליט מחוז צריכה להיעשות במידתיות</w:t>
      </w:r>
      <w:r w:rsidR="00826399">
        <w:rPr>
          <w:rStyle w:val="af"/>
          <w:rFonts w:cs="David"/>
          <w:sz w:val="24"/>
          <w:szCs w:val="24"/>
          <w:rtl/>
        </w:rPr>
        <w:footnoteReference w:id="1"/>
      </w:r>
      <w:r w:rsidRPr="002312F7">
        <w:rPr>
          <w:rFonts w:cs="David" w:hint="cs"/>
          <w:sz w:val="24"/>
          <w:szCs w:val="24"/>
          <w:rtl/>
        </w:rPr>
        <w:t xml:space="preserve"> בהתחשב בקווים המנחים הבאים: חלקו היחסי של הרכוש האסור ברכוש הלגיטימי, מידת הפגיעה בערך המוגן הנוסף, שיטתיות, תחכום או מורכבות ההסתרה, החשש שהרכוש ישמש להמשך ביצוע עבירות (מניעה מצבית), זיקה לארגוני פשיעה ולארגוני </w:t>
      </w:r>
      <w:r w:rsidR="00844A4F">
        <w:rPr>
          <w:rFonts w:cs="David" w:hint="cs"/>
          <w:sz w:val="24"/>
          <w:szCs w:val="24"/>
          <w:rtl/>
        </w:rPr>
        <w:t xml:space="preserve"> </w:t>
      </w:r>
      <w:r w:rsidRPr="00727B67">
        <w:rPr>
          <w:rFonts w:cs="David" w:hint="cs"/>
          <w:sz w:val="24"/>
          <w:szCs w:val="24"/>
          <w:rtl/>
        </w:rPr>
        <w:t xml:space="preserve">טרור. </w:t>
      </w:r>
    </w:p>
    <w:p w:rsidR="00805A83" w:rsidRPr="00727B67" w:rsidRDefault="00805A83" w:rsidP="00960967">
      <w:pPr>
        <w:pStyle w:val="a3"/>
        <w:numPr>
          <w:ilvl w:val="0"/>
          <w:numId w:val="4"/>
        </w:numPr>
        <w:spacing w:line="360" w:lineRule="auto"/>
        <w:jc w:val="both"/>
        <w:rPr>
          <w:rFonts w:cs="David"/>
          <w:sz w:val="24"/>
          <w:szCs w:val="24"/>
        </w:rPr>
      </w:pPr>
      <w:r w:rsidRPr="00727B67">
        <w:rPr>
          <w:rFonts w:cs="David" w:hint="cs"/>
          <w:sz w:val="24"/>
          <w:szCs w:val="24"/>
          <w:rtl/>
        </w:rPr>
        <w:t xml:space="preserve"> כך למשל, כאשר מדובר ברכוש אסור שעורבב בעסק הפועל באופן חוקי, אשר </w:t>
      </w:r>
      <w:r w:rsidR="00844A4F">
        <w:rPr>
          <w:rFonts w:cs="David" w:hint="cs"/>
          <w:sz w:val="24"/>
          <w:szCs w:val="24"/>
          <w:rtl/>
        </w:rPr>
        <w:t xml:space="preserve">מוכח כי </w:t>
      </w:r>
      <w:r w:rsidRPr="00727B67">
        <w:rPr>
          <w:rFonts w:cs="David" w:hint="cs"/>
          <w:sz w:val="24"/>
          <w:szCs w:val="24"/>
          <w:rtl/>
        </w:rPr>
        <w:t>מקורותיו אינם נובעים מכספי עבירות, ובעסק מעורבים צדדים שלישיים שאינם קשורים לעבירות,</w:t>
      </w:r>
      <w:r w:rsidR="00844A4F">
        <w:rPr>
          <w:rFonts w:cs="David" w:hint="cs"/>
          <w:sz w:val="24"/>
          <w:szCs w:val="24"/>
          <w:rtl/>
        </w:rPr>
        <w:t xml:space="preserve"> במישרין או בעקיפין</w:t>
      </w:r>
      <w:r w:rsidRPr="00727B67">
        <w:rPr>
          <w:rFonts w:cs="David" w:hint="cs"/>
          <w:sz w:val="24"/>
          <w:szCs w:val="24"/>
          <w:rtl/>
        </w:rPr>
        <w:t xml:space="preserve"> </w:t>
      </w:r>
      <w:r w:rsidR="00844A4F">
        <w:rPr>
          <w:rFonts w:cs="David" w:hint="cs"/>
          <w:sz w:val="24"/>
          <w:szCs w:val="24"/>
          <w:rtl/>
        </w:rPr>
        <w:t>כ</w:t>
      </w:r>
      <w:r w:rsidRPr="00727B67">
        <w:rPr>
          <w:rFonts w:cs="David" w:hint="cs"/>
          <w:sz w:val="24"/>
          <w:szCs w:val="24"/>
          <w:rtl/>
        </w:rPr>
        <w:t>כלל לא יתבקש צו חילוט זמני שיהיה בו כדי לשבש באופן מהותי את פעילותו של העסק, והמדינה תסתפק במצב כזה</w:t>
      </w:r>
      <w:r w:rsidR="00844A4F">
        <w:rPr>
          <w:rFonts w:cs="David" w:hint="cs"/>
          <w:sz w:val="24"/>
          <w:szCs w:val="24"/>
          <w:rtl/>
        </w:rPr>
        <w:t xml:space="preserve"> בצו חילוט זמני רק על חלקו של הרכוש, </w:t>
      </w:r>
      <w:r w:rsidR="00960967">
        <w:rPr>
          <w:rFonts w:cs="David" w:hint="cs"/>
          <w:sz w:val="24"/>
          <w:szCs w:val="24"/>
          <w:rtl/>
        </w:rPr>
        <w:t>ו</w:t>
      </w:r>
      <w:r w:rsidRPr="00727B67">
        <w:rPr>
          <w:rFonts w:cs="David" w:hint="cs"/>
          <w:sz w:val="24"/>
          <w:szCs w:val="24"/>
          <w:rtl/>
        </w:rPr>
        <w:t>בהטלת שיעבוד ומתן ערבויות מתאימות, לרבות ערבויות אישיות, שיינתנו להבטחת החילוט הסופי היה וייקבע בסוף ההליך על ידי בית המשפט.</w:t>
      </w:r>
    </w:p>
    <w:p w:rsidR="00744CDF" w:rsidRPr="00727B67" w:rsidRDefault="00744CDF" w:rsidP="00727B67">
      <w:pPr>
        <w:spacing w:line="360" w:lineRule="auto"/>
        <w:ind w:left="360"/>
        <w:jc w:val="both"/>
        <w:rPr>
          <w:rFonts w:cs="David"/>
          <w:sz w:val="24"/>
          <w:szCs w:val="24"/>
        </w:rPr>
      </w:pPr>
    </w:p>
    <w:sectPr w:rsidR="00744CDF" w:rsidRPr="00727B67" w:rsidSect="00BC303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A45" w:rsidRDefault="00A14A45">
      <w:pPr>
        <w:spacing w:after="0" w:line="240" w:lineRule="auto"/>
      </w:pPr>
      <w:r>
        <w:separator/>
      </w:r>
    </w:p>
  </w:endnote>
  <w:endnote w:type="continuationSeparator" w:id="0">
    <w:p w:rsidR="00A14A45" w:rsidRDefault="00A14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A66" w:rsidRDefault="00175A6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A66" w:rsidRDefault="00175A6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A66" w:rsidRDefault="00175A6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A45" w:rsidRDefault="00A14A45">
      <w:pPr>
        <w:spacing w:after="0" w:line="240" w:lineRule="auto"/>
      </w:pPr>
      <w:r>
        <w:separator/>
      </w:r>
    </w:p>
  </w:footnote>
  <w:footnote w:type="continuationSeparator" w:id="0">
    <w:p w:rsidR="00A14A45" w:rsidRDefault="00A14A45">
      <w:pPr>
        <w:spacing w:after="0" w:line="240" w:lineRule="auto"/>
      </w:pPr>
      <w:r>
        <w:continuationSeparator/>
      </w:r>
    </w:p>
  </w:footnote>
  <w:footnote w:id="1">
    <w:p w:rsidR="00960967" w:rsidRDefault="00826399" w:rsidP="00960967">
      <w:pPr>
        <w:pStyle w:val="ad"/>
        <w:rPr>
          <w:rtl/>
        </w:rPr>
      </w:pPr>
      <w:r>
        <w:rPr>
          <w:rStyle w:val="af"/>
        </w:rPr>
        <w:footnoteRef/>
      </w:r>
      <w:r>
        <w:rPr>
          <w:rtl/>
        </w:rPr>
        <w:t xml:space="preserve"> </w:t>
      </w:r>
      <w:r w:rsidR="00960967">
        <w:rPr>
          <w:rFonts w:hint="cs"/>
          <w:rtl/>
        </w:rPr>
        <w:t>השווה</w:t>
      </w:r>
    </w:p>
    <w:p w:rsidR="00826399" w:rsidRDefault="00960967" w:rsidP="00960967">
      <w:pPr>
        <w:pStyle w:val="ad"/>
      </w:pPr>
      <w:r>
        <w:rPr>
          <w:rFonts w:hint="cs"/>
          <w:rtl/>
        </w:rPr>
        <w:t xml:space="preserve"> </w:t>
      </w:r>
      <w:r>
        <w:rPr>
          <w:rFonts w:ascii="Arial" w:hAnsi="Arial"/>
          <w:i/>
          <w:iCs/>
        </w:rPr>
        <w:t>United States v. Aguasvivas-Castillo,</w:t>
      </w:r>
      <w:r>
        <w:rPr>
          <w:rFonts w:ascii="Arial" w:hAnsi="Arial"/>
        </w:rPr>
        <w:t xml:space="preserve"> 668 F.3d 7, 17 (1st Cir.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A66" w:rsidRDefault="00175A6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A66" w:rsidRDefault="00BB07E7">
    <w:pPr>
      <w:pStyle w:val="a7"/>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טיוטה"/>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A66" w:rsidRDefault="00175A6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F2C03"/>
    <w:multiLevelType w:val="hybridMultilevel"/>
    <w:tmpl w:val="F2D68912"/>
    <w:lvl w:ilvl="0" w:tplc="B5DE78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3137E0"/>
    <w:multiLevelType w:val="hybridMultilevel"/>
    <w:tmpl w:val="71428486"/>
    <w:lvl w:ilvl="0" w:tplc="FF168A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2A0817"/>
    <w:multiLevelType w:val="hybridMultilevel"/>
    <w:tmpl w:val="2A123FA0"/>
    <w:lvl w:ilvl="0" w:tplc="7A327162">
      <w:start w:val="1"/>
      <w:numFmt w:val="decimal"/>
      <w:lvlText w:val="%1."/>
      <w:lvlJc w:val="left"/>
      <w:pPr>
        <w:ind w:left="720" w:hanging="360"/>
      </w:pPr>
      <w:rPr>
        <w:rFonts w:hint="default"/>
        <w:b w:val="0"/>
        <w:bCs w:val="0"/>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064B9"/>
    <w:multiLevelType w:val="hybridMultilevel"/>
    <w:tmpl w:val="D8BE88C4"/>
    <w:lvl w:ilvl="0" w:tplc="B5DE78CE">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7102B6"/>
    <w:multiLevelType w:val="hybridMultilevel"/>
    <w:tmpl w:val="42E6CEE8"/>
    <w:lvl w:ilvl="0" w:tplc="7A327162">
      <w:start w:val="1"/>
      <w:numFmt w:val="decimal"/>
      <w:lvlText w:val="%1."/>
      <w:lvlJc w:val="left"/>
      <w:pPr>
        <w:ind w:left="720" w:hanging="360"/>
      </w:pPr>
      <w:rPr>
        <w:rFonts w:hint="default"/>
        <w:b w:val="0"/>
        <w:bCs w:val="0"/>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1E11CF"/>
    <w:multiLevelType w:val="hybridMultilevel"/>
    <w:tmpl w:val="5302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7F70AB"/>
    <w:multiLevelType w:val="hybridMultilevel"/>
    <w:tmpl w:val="FEFEE66A"/>
    <w:lvl w:ilvl="0" w:tplc="2FB82D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CD"/>
    <w:rsid w:val="00017973"/>
    <w:rsid w:val="00030D77"/>
    <w:rsid w:val="000361CA"/>
    <w:rsid w:val="000A48B4"/>
    <w:rsid w:val="00147269"/>
    <w:rsid w:val="00175A66"/>
    <w:rsid w:val="00196F4F"/>
    <w:rsid w:val="001A7741"/>
    <w:rsid w:val="001B3DA2"/>
    <w:rsid w:val="00217351"/>
    <w:rsid w:val="002312F7"/>
    <w:rsid w:val="002400CD"/>
    <w:rsid w:val="00265398"/>
    <w:rsid w:val="002C2B12"/>
    <w:rsid w:val="002D7C28"/>
    <w:rsid w:val="003028BA"/>
    <w:rsid w:val="00321895"/>
    <w:rsid w:val="00366C87"/>
    <w:rsid w:val="004020EA"/>
    <w:rsid w:val="00404818"/>
    <w:rsid w:val="00423E0D"/>
    <w:rsid w:val="00431F9C"/>
    <w:rsid w:val="00432BA6"/>
    <w:rsid w:val="00473C06"/>
    <w:rsid w:val="004A713B"/>
    <w:rsid w:val="004E592B"/>
    <w:rsid w:val="005C679C"/>
    <w:rsid w:val="005D02FB"/>
    <w:rsid w:val="005D5439"/>
    <w:rsid w:val="00601ABC"/>
    <w:rsid w:val="00610D22"/>
    <w:rsid w:val="00663ED2"/>
    <w:rsid w:val="00701389"/>
    <w:rsid w:val="00727B67"/>
    <w:rsid w:val="00744CDF"/>
    <w:rsid w:val="00752EE2"/>
    <w:rsid w:val="00767DD6"/>
    <w:rsid w:val="00771CC1"/>
    <w:rsid w:val="007E256B"/>
    <w:rsid w:val="00802704"/>
    <w:rsid w:val="00805A83"/>
    <w:rsid w:val="00810F2D"/>
    <w:rsid w:val="00826399"/>
    <w:rsid w:val="00844A4F"/>
    <w:rsid w:val="00871821"/>
    <w:rsid w:val="008E0746"/>
    <w:rsid w:val="0090191D"/>
    <w:rsid w:val="009076FE"/>
    <w:rsid w:val="00920015"/>
    <w:rsid w:val="00920DE9"/>
    <w:rsid w:val="009324A8"/>
    <w:rsid w:val="00960967"/>
    <w:rsid w:val="00963327"/>
    <w:rsid w:val="00994E3A"/>
    <w:rsid w:val="009A0E30"/>
    <w:rsid w:val="009B6B1B"/>
    <w:rsid w:val="009C4159"/>
    <w:rsid w:val="009E02CB"/>
    <w:rsid w:val="00A016C6"/>
    <w:rsid w:val="00A018D5"/>
    <w:rsid w:val="00A14A45"/>
    <w:rsid w:val="00AD4DFE"/>
    <w:rsid w:val="00AF5104"/>
    <w:rsid w:val="00B371C5"/>
    <w:rsid w:val="00BB07E7"/>
    <w:rsid w:val="00BB4B9A"/>
    <w:rsid w:val="00BC3034"/>
    <w:rsid w:val="00C709A3"/>
    <w:rsid w:val="00CB0ED4"/>
    <w:rsid w:val="00D70E68"/>
    <w:rsid w:val="00D7678C"/>
    <w:rsid w:val="00DE4C62"/>
    <w:rsid w:val="00E104AF"/>
    <w:rsid w:val="00E85697"/>
    <w:rsid w:val="00EA2E4F"/>
    <w:rsid w:val="00EF1763"/>
    <w:rsid w:val="00F35729"/>
    <w:rsid w:val="00F80186"/>
    <w:rsid w:val="00FA54A0"/>
    <w:rsid w:val="00FE1ED9"/>
    <w:rsid w:val="00FF40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D02EDA6-1C55-4BDF-91A6-97DEC22E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CD"/>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186"/>
    <w:pPr>
      <w:ind w:left="720"/>
      <w:contextualSpacing/>
    </w:pPr>
  </w:style>
  <w:style w:type="character" w:styleId="a4">
    <w:name w:val="annotation reference"/>
    <w:uiPriority w:val="99"/>
    <w:semiHidden/>
    <w:unhideWhenUsed/>
    <w:rsid w:val="002400CD"/>
    <w:rPr>
      <w:sz w:val="16"/>
      <w:szCs w:val="16"/>
    </w:rPr>
  </w:style>
  <w:style w:type="paragraph" w:styleId="a5">
    <w:name w:val="annotation text"/>
    <w:basedOn w:val="a"/>
    <w:link w:val="a6"/>
    <w:uiPriority w:val="99"/>
    <w:semiHidden/>
    <w:unhideWhenUsed/>
    <w:rsid w:val="002400CD"/>
    <w:rPr>
      <w:sz w:val="20"/>
      <w:szCs w:val="20"/>
    </w:rPr>
  </w:style>
  <w:style w:type="character" w:customStyle="1" w:styleId="a6">
    <w:name w:val="טקסט הערה תו"/>
    <w:basedOn w:val="a0"/>
    <w:link w:val="a5"/>
    <w:uiPriority w:val="99"/>
    <w:semiHidden/>
    <w:rsid w:val="002400CD"/>
    <w:rPr>
      <w:rFonts w:ascii="Calibri" w:eastAsia="Calibri" w:hAnsi="Calibri" w:cs="Arial"/>
      <w:sz w:val="20"/>
      <w:szCs w:val="20"/>
    </w:rPr>
  </w:style>
  <w:style w:type="paragraph" w:styleId="a7">
    <w:name w:val="header"/>
    <w:basedOn w:val="a"/>
    <w:link w:val="a8"/>
    <w:uiPriority w:val="99"/>
    <w:unhideWhenUsed/>
    <w:rsid w:val="002400CD"/>
    <w:pPr>
      <w:tabs>
        <w:tab w:val="center" w:pos="4153"/>
        <w:tab w:val="right" w:pos="8306"/>
      </w:tabs>
    </w:pPr>
  </w:style>
  <w:style w:type="character" w:customStyle="1" w:styleId="a8">
    <w:name w:val="כותרת עליונה תו"/>
    <w:basedOn w:val="a0"/>
    <w:link w:val="a7"/>
    <w:uiPriority w:val="99"/>
    <w:rsid w:val="002400CD"/>
    <w:rPr>
      <w:rFonts w:ascii="Calibri" w:eastAsia="Calibri" w:hAnsi="Calibri" w:cs="Arial"/>
    </w:rPr>
  </w:style>
  <w:style w:type="paragraph" w:styleId="a9">
    <w:name w:val="footer"/>
    <w:basedOn w:val="a"/>
    <w:link w:val="aa"/>
    <w:uiPriority w:val="99"/>
    <w:unhideWhenUsed/>
    <w:rsid w:val="002400CD"/>
    <w:pPr>
      <w:tabs>
        <w:tab w:val="center" w:pos="4153"/>
        <w:tab w:val="right" w:pos="8306"/>
      </w:tabs>
    </w:pPr>
  </w:style>
  <w:style w:type="character" w:customStyle="1" w:styleId="aa">
    <w:name w:val="כותרת תחתונה תו"/>
    <w:basedOn w:val="a0"/>
    <w:link w:val="a9"/>
    <w:uiPriority w:val="99"/>
    <w:rsid w:val="002400CD"/>
    <w:rPr>
      <w:rFonts w:ascii="Calibri" w:eastAsia="Calibri" w:hAnsi="Calibri" w:cs="Arial"/>
    </w:rPr>
  </w:style>
  <w:style w:type="paragraph" w:styleId="ab">
    <w:name w:val="Balloon Text"/>
    <w:basedOn w:val="a"/>
    <w:link w:val="ac"/>
    <w:uiPriority w:val="99"/>
    <w:semiHidden/>
    <w:unhideWhenUsed/>
    <w:rsid w:val="002400CD"/>
    <w:pPr>
      <w:spacing w:after="0" w:line="240" w:lineRule="auto"/>
    </w:pPr>
    <w:rPr>
      <w:rFonts w:ascii="Tahoma" w:hAnsi="Tahoma" w:cs="Tahoma"/>
      <w:sz w:val="16"/>
      <w:szCs w:val="16"/>
    </w:rPr>
  </w:style>
  <w:style w:type="character" w:customStyle="1" w:styleId="ac">
    <w:name w:val="טקסט בלונים תו"/>
    <w:basedOn w:val="a0"/>
    <w:link w:val="ab"/>
    <w:uiPriority w:val="99"/>
    <w:semiHidden/>
    <w:rsid w:val="002400CD"/>
    <w:rPr>
      <w:rFonts w:ascii="Tahoma" w:eastAsia="Calibri" w:hAnsi="Tahoma" w:cs="Tahoma"/>
      <w:sz w:val="16"/>
      <w:szCs w:val="16"/>
    </w:rPr>
  </w:style>
  <w:style w:type="paragraph" w:styleId="ad">
    <w:name w:val="footnote text"/>
    <w:basedOn w:val="a"/>
    <w:link w:val="ae"/>
    <w:uiPriority w:val="99"/>
    <w:semiHidden/>
    <w:unhideWhenUsed/>
    <w:rsid w:val="00826399"/>
    <w:pPr>
      <w:spacing w:after="0" w:line="240" w:lineRule="auto"/>
    </w:pPr>
    <w:rPr>
      <w:sz w:val="20"/>
      <w:szCs w:val="20"/>
    </w:rPr>
  </w:style>
  <w:style w:type="character" w:customStyle="1" w:styleId="ae">
    <w:name w:val="טקסט הערת שוליים תו"/>
    <w:basedOn w:val="a0"/>
    <w:link w:val="ad"/>
    <w:uiPriority w:val="99"/>
    <w:semiHidden/>
    <w:rsid w:val="00826399"/>
    <w:rPr>
      <w:rFonts w:ascii="Calibri" w:eastAsia="Calibri" w:hAnsi="Calibri" w:cs="Arial"/>
      <w:sz w:val="20"/>
      <w:szCs w:val="20"/>
    </w:rPr>
  </w:style>
  <w:style w:type="character" w:styleId="af">
    <w:name w:val="footnote reference"/>
    <w:basedOn w:val="a0"/>
    <w:uiPriority w:val="99"/>
    <w:semiHidden/>
    <w:unhideWhenUsed/>
    <w:rsid w:val="00826399"/>
    <w:rPr>
      <w:vertAlign w:val="superscript"/>
    </w:rPr>
  </w:style>
  <w:style w:type="paragraph" w:styleId="af0">
    <w:name w:val="annotation subject"/>
    <w:basedOn w:val="a5"/>
    <w:next w:val="a5"/>
    <w:link w:val="af1"/>
    <w:uiPriority w:val="99"/>
    <w:semiHidden/>
    <w:unhideWhenUsed/>
    <w:rsid w:val="00B371C5"/>
    <w:pPr>
      <w:spacing w:line="240" w:lineRule="auto"/>
    </w:pPr>
    <w:rPr>
      <w:b/>
      <w:bCs/>
    </w:rPr>
  </w:style>
  <w:style w:type="character" w:customStyle="1" w:styleId="af1">
    <w:name w:val="נושא הערה תו"/>
    <w:basedOn w:val="a6"/>
    <w:link w:val="af0"/>
    <w:uiPriority w:val="99"/>
    <w:semiHidden/>
    <w:rsid w:val="00B371C5"/>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680670">
      <w:bodyDiv w:val="1"/>
      <w:marLeft w:val="0"/>
      <w:marRight w:val="0"/>
      <w:marTop w:val="0"/>
      <w:marBottom w:val="0"/>
      <w:divBdr>
        <w:top w:val="none" w:sz="0" w:space="0" w:color="auto"/>
        <w:left w:val="none" w:sz="0" w:space="0" w:color="auto"/>
        <w:bottom w:val="none" w:sz="0" w:space="0" w:color="auto"/>
        <w:right w:val="none" w:sz="0" w:space="0" w:color="auto"/>
      </w:divBdr>
    </w:div>
    <w:div w:id="1407075210">
      <w:bodyDiv w:val="1"/>
      <w:marLeft w:val="0"/>
      <w:marRight w:val="0"/>
      <w:marTop w:val="0"/>
      <w:marBottom w:val="0"/>
      <w:divBdr>
        <w:top w:val="none" w:sz="0" w:space="0" w:color="auto"/>
        <w:left w:val="none" w:sz="0" w:space="0" w:color="auto"/>
        <w:bottom w:val="none" w:sz="0" w:space="0" w:color="auto"/>
        <w:right w:val="none" w:sz="0" w:space="0" w:color="auto"/>
      </w:divBdr>
    </w:div>
    <w:div w:id="181378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קלאסי">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FF84E-D7E2-4CBA-A66F-8EE5B81EB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4389</Characters>
  <Application>Microsoft Office Word</Application>
  <DocSecurity>4</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dc:creator>
  <cp:lastModifiedBy>חופית עלפי</cp:lastModifiedBy>
  <cp:revision>2</cp:revision>
  <dcterms:created xsi:type="dcterms:W3CDTF">2016-03-17T12:53:00Z</dcterms:created>
  <dcterms:modified xsi:type="dcterms:W3CDTF">2016-03-17T12:53:00Z</dcterms:modified>
</cp:coreProperties>
</file>