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AA49C3" w14:textId="77777777" w:rsidR="00222018" w:rsidRPr="0000131B" w:rsidRDefault="00222018" w:rsidP="00222018">
      <w:pPr>
        <w:pStyle w:val="HeadHatzaotHok"/>
        <w:jc w:val="right"/>
        <w:rPr>
          <w:b w:val="0"/>
          <w:bCs w:val="0"/>
          <w:szCs w:val="20"/>
        </w:rPr>
      </w:pPr>
      <w:bookmarkStart w:id="0" w:name="_GoBack"/>
      <w:bookmarkEnd w:id="0"/>
      <w:r w:rsidRPr="0000131B">
        <w:rPr>
          <w:rFonts w:hint="cs"/>
          <w:b w:val="0"/>
          <w:bCs w:val="0"/>
          <w:szCs w:val="20"/>
          <w:rtl/>
        </w:rPr>
        <w:t xml:space="preserve">מספר פנימי: </w:t>
      </w:r>
      <w:bookmarkStart w:id="1" w:name="LGS_Internal_ID"/>
      <w:r>
        <w:rPr>
          <w:rFonts w:hint="cs"/>
          <w:b w:val="0"/>
          <w:bCs w:val="0"/>
          <w:szCs w:val="20"/>
          <w:rtl/>
        </w:rPr>
        <w:t>562425</w:t>
      </w:r>
      <w:bookmarkEnd w:id="1"/>
    </w:p>
    <w:p w14:paraId="14DCB521" w14:textId="77777777" w:rsidR="00222018" w:rsidRPr="00DB7060" w:rsidRDefault="00222018" w:rsidP="00222018">
      <w:pPr>
        <w:pStyle w:val="HeadHatzaotHok"/>
        <w:rPr>
          <w:sz w:val="28"/>
          <w:szCs w:val="28"/>
          <w:rtl/>
        </w:rPr>
      </w:pPr>
      <w:r w:rsidRPr="00DB7060">
        <w:rPr>
          <w:rFonts w:hint="cs"/>
          <w:sz w:val="28"/>
          <w:szCs w:val="28"/>
          <w:rtl/>
        </w:rPr>
        <w:t xml:space="preserve">הכנסת </w:t>
      </w:r>
      <w:bookmarkStart w:id="2" w:name="LGS_Knesset_Num"/>
      <w:r>
        <w:rPr>
          <w:sz w:val="28"/>
          <w:szCs w:val="28"/>
          <w:rtl/>
        </w:rPr>
        <w:t>העשרים</w:t>
      </w:r>
      <w:bookmarkEnd w:id="2"/>
    </w:p>
    <w:p w14:paraId="721D6D0E" w14:textId="77777777" w:rsidR="00222018" w:rsidRPr="00F67051" w:rsidRDefault="00222018" w:rsidP="00222018">
      <w:pPr>
        <w:rPr>
          <w:rFonts w:cs="David"/>
          <w:b/>
          <w:bCs/>
          <w:sz w:val="26"/>
          <w:szCs w:val="26"/>
          <w:rtl/>
        </w:rPr>
      </w:pPr>
    </w:p>
    <w:p w14:paraId="518D41AF" w14:textId="0F254F07" w:rsidR="00222018" w:rsidRPr="00CF1AA2" w:rsidRDefault="00222018" w:rsidP="008A3E2C">
      <w:pPr>
        <w:pStyle w:val="David"/>
        <w:spacing w:line="360" w:lineRule="auto"/>
        <w:ind w:left="3544"/>
        <w:rPr>
          <w:b/>
          <w:bCs/>
          <w:rtl/>
        </w:rPr>
      </w:pPr>
      <w:bookmarkStart w:id="3" w:name="LGS_Initiators_List"/>
      <w:r>
        <w:rPr>
          <w:b/>
          <w:bCs/>
          <w:rtl/>
        </w:rPr>
        <w:t>יוזמות:      חברות הכנסת</w:t>
      </w:r>
      <w:bookmarkEnd w:id="3"/>
      <w:r w:rsidRPr="00F67051">
        <w:rPr>
          <w:b/>
          <w:bCs/>
        </w:rPr>
        <w:tab/>
      </w:r>
      <w:bookmarkStart w:id="4" w:name="LGS_PM_Names"/>
      <w:r>
        <w:rPr>
          <w:rFonts w:hint="cs"/>
          <w:b/>
          <w:bCs/>
          <w:rtl/>
        </w:rPr>
        <w:t>מיכל רוזין</w:t>
      </w:r>
      <w:r>
        <w:br/>
      </w:r>
      <w:r>
        <w:rPr>
          <w:rFonts w:hint="cs"/>
          <w:b/>
          <w:bCs/>
          <w:rtl/>
        </w:rPr>
        <w:t xml:space="preserve"> </w:t>
      </w:r>
      <w:r>
        <w:tab/>
      </w:r>
      <w:r>
        <w:tab/>
      </w:r>
      <w:r>
        <w:tab/>
      </w:r>
      <w:r>
        <w:tab/>
      </w:r>
      <w:r>
        <w:rPr>
          <w:rFonts w:hint="cs"/>
          <w:b/>
          <w:bCs/>
          <w:rtl/>
        </w:rPr>
        <w:t>זהבה גלאון</w:t>
      </w:r>
      <w:r>
        <w:br/>
      </w:r>
      <w:r>
        <w:rPr>
          <w:rFonts w:hint="cs"/>
          <w:b/>
          <w:bCs/>
          <w:rtl/>
        </w:rPr>
        <w:t xml:space="preserve"> </w:t>
      </w:r>
      <w:r>
        <w:tab/>
      </w:r>
      <w:r>
        <w:tab/>
      </w:r>
      <w:r>
        <w:tab/>
      </w:r>
      <w:r>
        <w:tab/>
      </w:r>
      <w:r>
        <w:rPr>
          <w:rFonts w:hint="cs"/>
          <w:b/>
          <w:bCs/>
          <w:rtl/>
        </w:rPr>
        <w:t>תמר זנדברג</w:t>
      </w:r>
      <w:bookmarkStart w:id="5" w:name="LGS_Join_List"/>
      <w:bookmarkEnd w:id="4"/>
      <w:r>
        <w:rPr>
          <w:rtl/>
        </w:rPr>
        <w:t xml:space="preserve"> </w:t>
      </w:r>
      <w:bookmarkEnd w:id="5"/>
      <w:r w:rsidRPr="00CF1AA2">
        <w:rPr>
          <w:rFonts w:hint="cs"/>
          <w:rtl/>
        </w:rPr>
        <w:tab/>
      </w:r>
      <w:bookmarkStart w:id="6" w:name="LGS_PM_NamesJoin"/>
      <w:r>
        <w:rPr>
          <w:rFonts w:hint="cs"/>
          <w:rtl/>
        </w:rPr>
        <w:t xml:space="preserve"> </w:t>
      </w:r>
      <w:bookmarkEnd w:id="6"/>
    </w:p>
    <w:p w14:paraId="331DC5D8" w14:textId="77777777" w:rsidR="00222018" w:rsidRPr="00E06736" w:rsidRDefault="00222018" w:rsidP="00222018">
      <w:pPr>
        <w:pStyle w:val="David"/>
        <w:ind w:left="3544"/>
        <w:rPr>
          <w:rtl/>
        </w:rPr>
      </w:pPr>
      <w:r w:rsidRPr="00CF1AA2">
        <w:rPr>
          <w:b/>
          <w:bCs/>
          <w:noProof/>
          <w:rtl/>
          <w:lang w:eastAsia="en-US"/>
        </w:rPr>
        <mc:AlternateContent>
          <mc:Choice Requires="wps">
            <w:drawing>
              <wp:anchor distT="0" distB="0" distL="114300" distR="114300" simplePos="0" relativeHeight="251659264" behindDoc="0" locked="0" layoutInCell="1" allowOverlap="1" wp14:anchorId="5BB56D9D" wp14:editId="5A3B0BB5">
                <wp:simplePos x="0" y="0"/>
                <wp:positionH relativeFrom="column">
                  <wp:posOffset>1270</wp:posOffset>
                </wp:positionH>
                <wp:positionV relativeFrom="paragraph">
                  <wp:posOffset>47625</wp:posOffset>
                </wp:positionV>
                <wp:extent cx="3879215" cy="17145"/>
                <wp:effectExtent l="0" t="0" r="0" b="0"/>
                <wp:wrapNone/>
                <wp:docPr id="1"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9215" cy="17145"/>
                        </a:xfrm>
                        <a:custGeom>
                          <a:avLst/>
                          <a:gdLst>
                            <a:gd name="T0" fmla="*/ 0 w 6109"/>
                            <a:gd name="T1" fmla="*/ 27 h 27"/>
                            <a:gd name="T2" fmla="*/ 6109 w 6109"/>
                            <a:gd name="T3" fmla="*/ 0 h 27"/>
                          </a:gdLst>
                          <a:ahLst/>
                          <a:cxnLst>
                            <a:cxn ang="0">
                              <a:pos x="T0" y="T1"/>
                            </a:cxn>
                            <a:cxn ang="0">
                              <a:pos x="T2" y="T3"/>
                            </a:cxn>
                          </a:cxnLst>
                          <a:rect l="0" t="0" r="r" b="b"/>
                          <a:pathLst>
                            <a:path w="6109" h="27">
                              <a:moveTo>
                                <a:pt x="0" y="27"/>
                              </a:moveTo>
                              <a:lnTo>
                                <a:pt x="6109"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polyline id="Freeform 7"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109,27" o:spid="_x0000_s1026" filled="f" points=".1pt,5.1pt,305.5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">
                <v:path arrowok="t" o:connecttype="custom" o:connectlocs="0,17145;3879215,0" o:connectangles="0,0"/>
              </v:polyline>
            </w:pict>
          </mc:Fallback>
        </mc:AlternateContent>
      </w:r>
      <w:r w:rsidRPr="00E06736">
        <w:rPr>
          <w:rFonts w:hint="cs"/>
          <w:rtl/>
        </w:rPr>
        <w:tab/>
      </w:r>
      <w:r>
        <w:tab/>
      </w:r>
      <w:r>
        <w:tab/>
      </w:r>
      <w:r w:rsidRPr="00E06736">
        <w:rPr>
          <w:rFonts w:hint="cs"/>
          <w:rtl/>
        </w:rPr>
        <w:tab/>
      </w:r>
      <w:r w:rsidRPr="00E06736">
        <w:tab/>
      </w:r>
      <w:bookmarkStart w:id="7" w:name="Private_Number"/>
      <w:r>
        <w:rPr>
          <w:rFonts w:hint="cs"/>
          <w:rtl/>
        </w:rPr>
        <w:t>פ/460/20</w:t>
      </w:r>
      <w:bookmarkEnd w:id="7"/>
      <w:r w:rsidRPr="00E06736">
        <w:rPr>
          <w:rFonts w:hint="cs"/>
          <w:rtl/>
        </w:rPr>
        <w:tab/>
      </w:r>
      <w:r w:rsidRPr="00E06736">
        <w:rPr>
          <w:rFonts w:hint="cs"/>
          <w:rtl/>
        </w:rPr>
        <w:tab/>
      </w:r>
      <w:r w:rsidRPr="00E06736">
        <w:rPr>
          <w:rFonts w:hint="cs"/>
          <w:rtl/>
        </w:rPr>
        <w:tab/>
      </w:r>
    </w:p>
    <w:p w14:paraId="183BBF32" w14:textId="77777777" w:rsidR="00222018" w:rsidRDefault="00222018" w:rsidP="00222018">
      <w:pPr>
        <w:spacing w:before="0" w:line="360" w:lineRule="auto"/>
        <w:ind w:left="2880" w:firstLine="720"/>
        <w:rPr>
          <w:rFonts w:cs="David"/>
          <w:sz w:val="26"/>
          <w:szCs w:val="26"/>
          <w:rtl/>
        </w:rPr>
      </w:pPr>
    </w:p>
    <w:p w14:paraId="47229ED4" w14:textId="68DDE066" w:rsidR="00222018" w:rsidRPr="00F67051" w:rsidRDefault="00222018" w:rsidP="008A3E2C">
      <w:pPr>
        <w:pStyle w:val="HeadHatzaotHok"/>
        <w:spacing w:line="240" w:lineRule="auto"/>
        <w:rPr>
          <w:rtl/>
        </w:rPr>
      </w:pPr>
      <w:bookmarkStart w:id="8" w:name="LGS_Subject"/>
      <w:r>
        <w:rPr>
          <w:rFonts w:hint="cs"/>
          <w:rtl/>
        </w:rPr>
        <w:t xml:space="preserve">הצעת חוק ההתיישנות (תיקון – השעיית מרוץ תקופת ההתיישנות), </w:t>
      </w:r>
      <w:proofErr w:type="spellStart"/>
      <w:r>
        <w:rPr>
          <w:rFonts w:hint="cs"/>
          <w:rtl/>
        </w:rPr>
        <w:t>התשע"ה</w:t>
      </w:r>
      <w:proofErr w:type="spellEnd"/>
      <w:r>
        <w:rPr>
          <w:rFonts w:hint="cs"/>
          <w:rtl/>
        </w:rPr>
        <w:t>–2015</w:t>
      </w:r>
      <w:bookmarkEnd w:id="8"/>
    </w:p>
    <w:p w14:paraId="163417AA" w14:textId="77777777" w:rsidR="00222018" w:rsidRDefault="00222018" w:rsidP="00222018">
      <w:pPr>
        <w:pStyle w:val="HeadDivreiHesber"/>
        <w:spacing w:before="0" w:after="0" w:line="240" w:lineRule="auto"/>
        <w:rPr>
          <w:rtl/>
        </w:rPr>
      </w:pPr>
    </w:p>
    <w:tbl>
      <w:tblPr>
        <w:bidiVisual/>
        <w:tblW w:w="9638" w:type="dxa"/>
        <w:tblLayout w:type="fixed"/>
        <w:tblCellMar>
          <w:top w:w="57" w:type="dxa"/>
          <w:left w:w="0" w:type="dxa"/>
          <w:bottom w:w="57" w:type="dxa"/>
          <w:right w:w="0" w:type="dxa"/>
        </w:tblCellMar>
        <w:tblLook w:val="01E0" w:firstRow="1" w:lastRow="1" w:firstColumn="1" w:lastColumn="1" w:noHBand="0" w:noVBand="0"/>
      </w:tblPr>
      <w:tblGrid>
        <w:gridCol w:w="1871"/>
        <w:gridCol w:w="624"/>
        <w:gridCol w:w="1872"/>
        <w:gridCol w:w="624"/>
        <w:gridCol w:w="4647"/>
      </w:tblGrid>
      <w:tr w:rsidR="00222018" w:rsidRPr="009823DE" w14:paraId="3F538C1C" w14:textId="77777777" w:rsidTr="007D2A09">
        <w:trPr>
          <w:cantSplit/>
        </w:trPr>
        <w:tc>
          <w:tcPr>
            <w:tcW w:w="1871" w:type="dxa"/>
          </w:tcPr>
          <w:p w14:paraId="677C96C4" w14:textId="77777777" w:rsidR="00222018" w:rsidRPr="009C6CF0" w:rsidRDefault="00222018" w:rsidP="007D2A09">
            <w:pPr>
              <w:pStyle w:val="TableSideHeading"/>
              <w:ind w:right="0"/>
            </w:pPr>
            <w:r w:rsidRPr="009C6CF0">
              <w:rPr>
                <w:rFonts w:hint="cs"/>
                <w:rtl/>
              </w:rPr>
              <w:t>הוספת סעיף 7א</w:t>
            </w:r>
          </w:p>
        </w:tc>
        <w:tc>
          <w:tcPr>
            <w:tcW w:w="624" w:type="dxa"/>
          </w:tcPr>
          <w:p w14:paraId="31B0DE61" w14:textId="77777777" w:rsidR="00222018" w:rsidRPr="009C6CF0" w:rsidRDefault="00222018" w:rsidP="007D2A09">
            <w:pPr>
              <w:pStyle w:val="TableText"/>
              <w:ind w:right="0"/>
              <w:jc w:val="both"/>
            </w:pPr>
            <w:r w:rsidRPr="009C6CF0">
              <w:rPr>
                <w:rFonts w:hint="cs"/>
                <w:rtl/>
              </w:rPr>
              <w:t>1.</w:t>
            </w:r>
          </w:p>
        </w:tc>
        <w:tc>
          <w:tcPr>
            <w:tcW w:w="7143" w:type="dxa"/>
            <w:gridSpan w:val="3"/>
          </w:tcPr>
          <w:p w14:paraId="69500EC5" w14:textId="77777777" w:rsidR="00222018" w:rsidRPr="009823DE" w:rsidRDefault="00222018" w:rsidP="007D2A09">
            <w:pPr>
              <w:pStyle w:val="TableBlock"/>
            </w:pPr>
            <w:r w:rsidRPr="009823DE">
              <w:rPr>
                <w:rFonts w:hint="cs"/>
                <w:rtl/>
              </w:rPr>
              <w:t xml:space="preserve">בחוק ההתיישנות, </w:t>
            </w:r>
            <w:proofErr w:type="spellStart"/>
            <w:r w:rsidRPr="009823DE">
              <w:rPr>
                <w:rFonts w:hint="cs"/>
                <w:rtl/>
              </w:rPr>
              <w:t>התשי"ח</w:t>
            </w:r>
            <w:proofErr w:type="spellEnd"/>
            <w:r>
              <w:rPr>
                <w:rFonts w:hint="eastAsia"/>
                <w:rtl/>
              </w:rPr>
              <w:t>–</w:t>
            </w:r>
            <w:r w:rsidRPr="009823DE">
              <w:rPr>
                <w:rFonts w:hint="cs"/>
                <w:rtl/>
              </w:rPr>
              <w:t>1958</w:t>
            </w:r>
            <w:r>
              <w:rPr>
                <w:rStyle w:val="a6"/>
                <w:rtl/>
              </w:rPr>
              <w:footnoteReference w:id="2"/>
            </w:r>
            <w:r w:rsidRPr="009823DE">
              <w:rPr>
                <w:rFonts w:hint="cs"/>
                <w:rtl/>
              </w:rPr>
              <w:t xml:space="preserve">, אחרי סעיף 7 יבוא: </w:t>
            </w:r>
          </w:p>
        </w:tc>
      </w:tr>
      <w:tr w:rsidR="00222018" w:rsidRPr="009823DE" w14:paraId="75666AA2" w14:textId="77777777" w:rsidTr="007D2A09">
        <w:trPr>
          <w:cantSplit/>
        </w:trPr>
        <w:tc>
          <w:tcPr>
            <w:tcW w:w="1871" w:type="dxa"/>
          </w:tcPr>
          <w:p w14:paraId="0332E145" w14:textId="77777777" w:rsidR="00222018" w:rsidRPr="009C6CF0" w:rsidRDefault="00222018" w:rsidP="007D2A09">
            <w:pPr>
              <w:pStyle w:val="TableSideHeading"/>
              <w:ind w:right="0"/>
            </w:pPr>
          </w:p>
        </w:tc>
        <w:tc>
          <w:tcPr>
            <w:tcW w:w="624" w:type="dxa"/>
          </w:tcPr>
          <w:p w14:paraId="51F8D866" w14:textId="77777777" w:rsidR="00222018" w:rsidRPr="009C6CF0" w:rsidRDefault="00222018" w:rsidP="007D2A09">
            <w:pPr>
              <w:pStyle w:val="TableText"/>
              <w:ind w:right="0"/>
              <w:jc w:val="both"/>
            </w:pPr>
          </w:p>
        </w:tc>
        <w:tc>
          <w:tcPr>
            <w:tcW w:w="1872" w:type="dxa"/>
          </w:tcPr>
          <w:p w14:paraId="5292B412" w14:textId="77777777" w:rsidR="00222018" w:rsidRPr="009C6CF0" w:rsidRDefault="00222018" w:rsidP="007D2A09">
            <w:pPr>
              <w:pStyle w:val="TableInnerSideHeading"/>
              <w:ind w:right="0"/>
            </w:pPr>
            <w:r w:rsidRPr="009C6CF0">
              <w:rPr>
                <w:rFonts w:hint="cs"/>
                <w:rtl/>
              </w:rPr>
              <w:t xml:space="preserve">"השעיית תקופת ההתיישנות עקב   התנהגות פסולה של הנתבע </w:t>
            </w:r>
          </w:p>
        </w:tc>
        <w:tc>
          <w:tcPr>
            <w:tcW w:w="624" w:type="dxa"/>
          </w:tcPr>
          <w:p w14:paraId="61130069" w14:textId="77777777" w:rsidR="00222018" w:rsidRPr="009C6CF0" w:rsidRDefault="00222018" w:rsidP="007D2A09">
            <w:pPr>
              <w:pStyle w:val="TableText"/>
              <w:ind w:right="0"/>
              <w:jc w:val="both"/>
            </w:pPr>
            <w:r w:rsidRPr="009C6CF0">
              <w:rPr>
                <w:rFonts w:hint="cs"/>
                <w:rtl/>
              </w:rPr>
              <w:t>7א.</w:t>
            </w:r>
            <w:r w:rsidRPr="009C6CF0">
              <w:t xml:space="preserve">  </w:t>
            </w:r>
          </w:p>
        </w:tc>
        <w:tc>
          <w:tcPr>
            <w:tcW w:w="4647" w:type="dxa"/>
          </w:tcPr>
          <w:p w14:paraId="3103AF3C" w14:textId="77777777" w:rsidR="00222018" w:rsidRPr="009823DE" w:rsidRDefault="00222018" w:rsidP="007D2A09">
            <w:pPr>
              <w:pStyle w:val="TableBlock"/>
            </w:pPr>
            <w:r w:rsidRPr="009823DE">
              <w:rPr>
                <w:rFonts w:hint="cs"/>
                <w:rtl/>
              </w:rPr>
              <w:t>מרוץ תקופת ההתיישנות של תביעה יושעה, כאשר הצדדים לתביעה הם צדדים מקוריים, כל עוד התובע נמנע מלהגיש תובענה בשל כך שהנתבע, או מי מטעמו, מטעה ביודעין את התובע, מפעיל נגדו כוח, מאיים עליו או מנצל</w:t>
            </w:r>
            <w:r>
              <w:rPr>
                <w:rFonts w:hint="cs"/>
                <w:rtl/>
              </w:rPr>
              <w:t xml:space="preserve"> את מצוקתו; לעניין זה, "הטעיה" </w:t>
            </w:r>
            <w:r>
              <w:rPr>
                <w:rFonts w:hint="eastAsia"/>
                <w:rtl/>
              </w:rPr>
              <w:t>–</w:t>
            </w:r>
            <w:r w:rsidRPr="009823DE">
              <w:rPr>
                <w:rFonts w:hint="cs"/>
                <w:rtl/>
              </w:rPr>
              <w:t xml:space="preserve"> לרבות בדרך של אי גילוי ביודעין של עובדה מהעובדות המהוות את עילת התובענה."</w:t>
            </w:r>
          </w:p>
        </w:tc>
      </w:tr>
    </w:tbl>
    <w:p w14:paraId="7515C0E2" w14:textId="77777777" w:rsidR="00222018" w:rsidRDefault="00222018" w:rsidP="00222018">
      <w:pPr>
        <w:pStyle w:val="HeadDivreiHesber"/>
        <w:rPr>
          <w:rtl/>
        </w:rPr>
      </w:pPr>
      <w:r w:rsidRPr="0027450A">
        <w:rPr>
          <w:rFonts w:hint="cs"/>
          <w:rtl/>
        </w:rPr>
        <w:t>דברי הסבר</w:t>
      </w:r>
    </w:p>
    <w:p w14:paraId="5E959DDA" w14:textId="77777777" w:rsidR="00222018" w:rsidRPr="009C6CF0" w:rsidRDefault="00222018" w:rsidP="00222018">
      <w:pPr>
        <w:pStyle w:val="Hesber"/>
        <w:rPr>
          <w:rtl/>
        </w:rPr>
      </w:pPr>
      <w:r w:rsidRPr="004D77D4">
        <w:rPr>
          <w:rFonts w:hint="cs"/>
          <w:rtl/>
        </w:rPr>
        <w:t xml:space="preserve">אחד מהטעמים המרכזיים להתיישנות תביעה הוא הזנחת זכותו של התובע משך תקופה ארוכה בלי </w:t>
      </w:r>
      <w:r w:rsidRPr="009C6CF0">
        <w:rPr>
          <w:rFonts w:hint="cs"/>
          <w:rtl/>
        </w:rPr>
        <w:t xml:space="preserve">שנקט פעולה מתאימה למימושה. מחדל זה יוצר הנחה של ויתור על הזכות. כאשר התובע מראה, כי העיכוב בהגשת התובענה אינו נובע ממחדל, אלא יש לכך סיבה ראויה, מהווה הדבר שיקול כבד משקל להשעות את מרוץ תקופת ההתיישנות, כל עוד סיבה זו קיימת. </w:t>
      </w:r>
    </w:p>
    <w:p w14:paraId="2CD5A8DC" w14:textId="77777777" w:rsidR="00222018" w:rsidRPr="009C6CF0" w:rsidRDefault="00222018" w:rsidP="00222018">
      <w:pPr>
        <w:pStyle w:val="Hesber"/>
        <w:rPr>
          <w:rtl/>
        </w:rPr>
      </w:pPr>
      <w:r w:rsidRPr="009C6CF0">
        <w:rPr>
          <w:rFonts w:hint="cs"/>
          <w:rtl/>
        </w:rPr>
        <w:t>כאשר העיכוב בהגשת התובענה נגרם עקב התנהגות פסולה של הנתבע או מי מטעמו, אין הנתבע ראוי עקרונית להגנת התיישנות, ואין להחשיב את תקופת העיכוב כחלק מתקופת ההתיישנות.</w:t>
      </w:r>
    </w:p>
    <w:p w14:paraId="1BBBD2A5" w14:textId="77777777" w:rsidR="00222018" w:rsidRPr="009C6CF0" w:rsidRDefault="00222018" w:rsidP="00222018">
      <w:pPr>
        <w:pStyle w:val="Hesber"/>
        <w:rPr>
          <w:rtl/>
        </w:rPr>
      </w:pPr>
      <w:r w:rsidRPr="009C6CF0">
        <w:rPr>
          <w:rFonts w:hint="cs"/>
          <w:rtl/>
        </w:rPr>
        <w:t>כאשר מדובר בפגיעה בנסיבות של ניצול יחסי כוח, תלות או מרות, בהן הנפגע נתון לשליטת הפוגע או מי מטעמו, המפעיל נגדו כוח, מאיים עליו או מנצל את מצוקתו, החשש מפני הפוגע מעמידה את הנפגע בפני בחירה קשה עקב ההשלכות שעשויות להיות להליך המשפטי. במקרים אלו, מוכרת תופעה של שיהוי בהגשת התביעה או בדיווח על הפגיעה כתוצאה מתקופת התיישנות קצרה שאינה מאפשרת הגשת תביעה.</w:t>
      </w:r>
    </w:p>
    <w:p w14:paraId="0F8CCBCD" w14:textId="77777777" w:rsidR="00222018" w:rsidRPr="009C6CF0" w:rsidRDefault="00222018" w:rsidP="00222018">
      <w:pPr>
        <w:pStyle w:val="Hesber"/>
        <w:rPr>
          <w:rtl/>
        </w:rPr>
      </w:pPr>
      <w:r w:rsidRPr="009C6CF0">
        <w:rPr>
          <w:rFonts w:hint="cs"/>
          <w:rtl/>
        </w:rPr>
        <w:t xml:space="preserve">יחסי עובד ומעסיק הם דוגמה בולטת למצב בו נפגע יימנע, ברוב המקרים, מהגשת תביעה, עקב החשש לאבדן מקום עבודתו או אבדן זכויות המגיעות לו במקום העבודה. במקרים אלה ובמקרים דומים עלול הנפגע לאבד את זכות התביעה עקב חלוף תקופת ההתיישנות, וכתוצאה מכך הפוגע יחמוק מהליכים </w:t>
      </w:r>
      <w:r w:rsidRPr="009C6CF0">
        <w:rPr>
          <w:rFonts w:hint="cs"/>
          <w:rtl/>
        </w:rPr>
        <w:lastRenderedPageBreak/>
        <w:t xml:space="preserve">משפטיים נגדו ולא יישא באחריות לפגיעה.  </w:t>
      </w:r>
    </w:p>
    <w:p w14:paraId="2773325E" w14:textId="77777777" w:rsidR="00222018" w:rsidRPr="009C6CF0" w:rsidRDefault="00222018" w:rsidP="00222018">
      <w:pPr>
        <w:pStyle w:val="Hesber"/>
        <w:rPr>
          <w:rtl/>
        </w:rPr>
      </w:pPr>
      <w:r w:rsidRPr="009C6CF0">
        <w:rPr>
          <w:rFonts w:hint="cs"/>
          <w:rtl/>
        </w:rPr>
        <w:t>ההסדר המוצע מוסיף לרשימת הנסיבות המצדיקות השעיה של תקופת ההתיישנות על פי חוק ההתיישנות, עילת השעיה נוספת במקרים שבהם גרם הנתבע או מי מטעמו לעיכוב כאמור, על ידי הטעיית התובע</w:t>
      </w:r>
      <w:r w:rsidRPr="009C6CF0">
        <w:rPr>
          <w:rtl/>
        </w:rPr>
        <w:t xml:space="preserve">, </w:t>
      </w:r>
      <w:r w:rsidRPr="009C6CF0">
        <w:rPr>
          <w:rFonts w:hint="cs"/>
          <w:rtl/>
        </w:rPr>
        <w:t>הפעלת כוח נגדו</w:t>
      </w:r>
      <w:r w:rsidRPr="009C6CF0">
        <w:rPr>
          <w:rtl/>
        </w:rPr>
        <w:t xml:space="preserve">, </w:t>
      </w:r>
      <w:r w:rsidRPr="009C6CF0">
        <w:rPr>
          <w:rFonts w:hint="cs"/>
          <w:rtl/>
        </w:rPr>
        <w:t>איום עליו או ניצול</w:t>
      </w:r>
      <w:r w:rsidRPr="009C6CF0">
        <w:rPr>
          <w:rtl/>
        </w:rPr>
        <w:t xml:space="preserve"> מצוקתו</w:t>
      </w:r>
      <w:r w:rsidRPr="009C6CF0">
        <w:rPr>
          <w:rFonts w:hint="cs"/>
          <w:rtl/>
        </w:rPr>
        <w:t xml:space="preserve">. הגדרת "הטעיה" מבהירה כי כאשר הנתבע גורם ביודעין לכך שהתובע לא יהיה מודע לעובדות המהוות את עילת התובענה, יושעה מרוץ ההתיישנות.  </w:t>
      </w:r>
    </w:p>
    <w:p w14:paraId="09601126" w14:textId="4642A642" w:rsidR="00222018" w:rsidRPr="009C6CF0" w:rsidRDefault="00222018" w:rsidP="008A3E2C">
      <w:pPr>
        <w:pStyle w:val="Hesber"/>
        <w:rPr>
          <w:rtl/>
        </w:rPr>
      </w:pPr>
      <w:r w:rsidRPr="009C6CF0">
        <w:rPr>
          <w:rFonts w:hint="cs"/>
          <w:rtl/>
        </w:rPr>
        <w:t xml:space="preserve">הצעת החוק מבוססת על הוראה בהצעת חוק ההתיישנות, </w:t>
      </w:r>
      <w:proofErr w:type="spellStart"/>
      <w:r w:rsidRPr="009C6CF0">
        <w:rPr>
          <w:rFonts w:hint="cs"/>
          <w:rtl/>
        </w:rPr>
        <w:t>התשס"ד</w:t>
      </w:r>
      <w:proofErr w:type="spellEnd"/>
      <w:r w:rsidRPr="009C6CF0">
        <w:rPr>
          <w:rFonts w:hint="cs"/>
          <w:rtl/>
        </w:rPr>
        <w:t>–2004 (</w:t>
      </w:r>
      <w:r w:rsidR="008A3E2C">
        <w:rPr>
          <w:rFonts w:hint="cs"/>
          <w:rtl/>
        </w:rPr>
        <w:t xml:space="preserve">פורסמה בהצעות חוק הממשלה – </w:t>
      </w:r>
      <w:r w:rsidRPr="009C6CF0">
        <w:rPr>
          <w:rFonts w:hint="cs"/>
          <w:rtl/>
        </w:rPr>
        <w:t xml:space="preserve">125), הצעת חוק ממשלתית שהונחה ונדונה בכנסת השש-עשרה. </w:t>
      </w:r>
    </w:p>
    <w:p w14:paraId="457E9FD8" w14:textId="05F0FC89" w:rsidR="00222018" w:rsidRPr="009C6CF0" w:rsidRDefault="00222018" w:rsidP="008A3E2C">
      <w:pPr>
        <w:pStyle w:val="Hesber"/>
        <w:rPr>
          <w:rtl/>
        </w:rPr>
      </w:pPr>
      <w:r w:rsidRPr="009C6CF0">
        <w:rPr>
          <w:rFonts w:hint="cs"/>
          <w:rtl/>
        </w:rPr>
        <w:t>הצעת חוק זו הוכנה בסיוע איגוד מרכזי הסיוע לנפגעות ולנפגעי תקיפה מינית בישראל.</w:t>
      </w:r>
    </w:p>
    <w:p w14:paraId="25C6EE6C" w14:textId="77777777" w:rsidR="00222018" w:rsidRPr="009C6CF0" w:rsidRDefault="00222018" w:rsidP="00222018">
      <w:pPr>
        <w:pStyle w:val="Hesber"/>
        <w:rPr>
          <w:rtl/>
        </w:rPr>
      </w:pPr>
      <w:r w:rsidRPr="009C6CF0">
        <w:rPr>
          <w:rFonts w:hint="cs"/>
          <w:rtl/>
        </w:rPr>
        <w:t>הצעת חוק זהה הונחה על שולחן הכנסת התשע-עשרה על ידי חברת הכנסת מיכל רוזין וקבוצת חברי הכנסת (פ/1535/19).</w:t>
      </w:r>
    </w:p>
    <w:p w14:paraId="7F6961CB" w14:textId="4CF54D7B" w:rsidR="00E13C27" w:rsidRDefault="00E13C27" w:rsidP="00222018">
      <w:pPr>
        <w:rPr>
          <w:rtl/>
        </w:rPr>
      </w:pPr>
    </w:p>
    <w:p w14:paraId="7380F519" w14:textId="15D19C44" w:rsidR="008A3E2C" w:rsidRDefault="008A3E2C" w:rsidP="00222018">
      <w:pPr>
        <w:rPr>
          <w:rtl/>
        </w:rPr>
      </w:pPr>
    </w:p>
    <w:p w14:paraId="0082E14A" w14:textId="60B62B38" w:rsidR="00F44C02" w:rsidRDefault="00F44C02" w:rsidP="00222018">
      <w:pPr>
        <w:rPr>
          <w:rtl/>
        </w:rPr>
      </w:pPr>
    </w:p>
    <w:p w14:paraId="250F8D8D" w14:textId="77777777" w:rsidR="00F44C02" w:rsidRDefault="00F44C02" w:rsidP="00222018">
      <w:pPr>
        <w:rPr>
          <w:rtl/>
        </w:rPr>
      </w:pPr>
    </w:p>
    <w:p w14:paraId="2B372ED6" w14:textId="77777777" w:rsidR="008A3E2C" w:rsidRPr="00557D2C" w:rsidRDefault="008A3E2C" w:rsidP="007D273A">
      <w:pPr>
        <w:pStyle w:val="Hesber"/>
        <w:rPr>
          <w:rtl/>
        </w:rPr>
      </w:pPr>
      <w:r w:rsidRPr="00557D2C">
        <w:rPr>
          <w:rtl/>
        </w:rPr>
        <w:t>---------------------------------</w:t>
      </w:r>
    </w:p>
    <w:p w14:paraId="7F0C97FD" w14:textId="77777777" w:rsidR="008A3E2C" w:rsidRPr="00557D2C" w:rsidRDefault="008A3E2C" w:rsidP="007D273A">
      <w:pPr>
        <w:pStyle w:val="Hesber"/>
        <w:rPr>
          <w:rtl/>
        </w:rPr>
      </w:pPr>
      <w:r w:rsidRPr="00557D2C">
        <w:rPr>
          <w:rtl/>
        </w:rPr>
        <w:t>הוגשה ליו"ר הכנסת והסגנים</w:t>
      </w:r>
    </w:p>
    <w:p w14:paraId="212FB35B" w14:textId="77777777" w:rsidR="008A3E2C" w:rsidRPr="00557D2C" w:rsidRDefault="008A3E2C" w:rsidP="007D273A">
      <w:pPr>
        <w:pStyle w:val="Hesber"/>
        <w:rPr>
          <w:rtl/>
        </w:rPr>
      </w:pPr>
      <w:r w:rsidRPr="00557D2C">
        <w:rPr>
          <w:rtl/>
        </w:rPr>
        <w:t>והונחה על שולחן הכנסת ביום</w:t>
      </w:r>
    </w:p>
    <w:p w14:paraId="3E0079DC" w14:textId="77777777" w:rsidR="008A3E2C" w:rsidRPr="007D273A" w:rsidRDefault="008A3E2C" w:rsidP="00FA0229">
      <w:pPr>
        <w:pStyle w:val="Hesber"/>
        <w:rPr>
          <w:rtl/>
        </w:rPr>
      </w:pPr>
      <w:r>
        <w:rPr>
          <w:rFonts w:hint="cs"/>
          <w:rtl/>
        </w:rPr>
        <w:t>כ"ב</w:t>
      </w:r>
      <w:r w:rsidRPr="00557D2C">
        <w:rPr>
          <w:rFonts w:hint="cs"/>
          <w:rtl/>
        </w:rPr>
        <w:t xml:space="preserve"> באייר </w:t>
      </w:r>
      <w:proofErr w:type="spellStart"/>
      <w:r w:rsidRPr="00557D2C">
        <w:rPr>
          <w:rFonts w:hint="cs"/>
          <w:rtl/>
        </w:rPr>
        <w:t>התשע"ה</w:t>
      </w:r>
      <w:proofErr w:type="spellEnd"/>
      <w:r w:rsidRPr="00557D2C">
        <w:rPr>
          <w:rFonts w:hint="cs"/>
          <w:rtl/>
        </w:rPr>
        <w:t xml:space="preserve"> </w:t>
      </w:r>
      <w:r w:rsidRPr="00557D2C">
        <w:rPr>
          <w:rtl/>
        </w:rPr>
        <w:t>–</w:t>
      </w:r>
      <w:r w:rsidRPr="00557D2C">
        <w:rPr>
          <w:rFonts w:hint="cs"/>
          <w:rtl/>
        </w:rPr>
        <w:t xml:space="preserve"> </w:t>
      </w:r>
      <w:r>
        <w:rPr>
          <w:rFonts w:hint="cs"/>
          <w:rtl/>
        </w:rPr>
        <w:t>11</w:t>
      </w:r>
      <w:r w:rsidRPr="00557D2C">
        <w:rPr>
          <w:rFonts w:hint="cs"/>
          <w:rtl/>
        </w:rPr>
        <w:t>.5.15</w:t>
      </w:r>
    </w:p>
    <w:p w14:paraId="664C3D1E" w14:textId="77777777" w:rsidR="008A3E2C" w:rsidRPr="00222018" w:rsidRDefault="008A3E2C" w:rsidP="00222018">
      <w:pPr>
        <w:rPr>
          <w:rtl/>
        </w:rPr>
      </w:pPr>
    </w:p>
    <w:sectPr w:rsidR="008A3E2C" w:rsidRPr="00222018" w:rsidSect="001207F8">
      <w:footerReference w:type="even" r:id="rId12"/>
      <w:footerReference w:type="default" r:id="rId13"/>
      <w:pgSz w:w="11907" w:h="16840" w:code="9"/>
      <w:pgMar w:top="1134" w:right="1134" w:bottom="1134" w:left="1134" w:header="680" w:footer="680" w:gutter="0"/>
      <w:cols w:space="720"/>
      <w:noEndnote/>
      <w:titlePg/>
      <w:bidi/>
      <w:rtlGutter/>
      <w:docGrid w:linePitch="2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6961D3" w14:textId="77777777" w:rsidR="00C23B1A" w:rsidRDefault="00C23B1A">
      <w:r>
        <w:separator/>
      </w:r>
    </w:p>
  </w:endnote>
  <w:endnote w:type="continuationSeparator" w:id="0">
    <w:p w14:paraId="7F6961D4" w14:textId="77777777" w:rsidR="00C23B1A" w:rsidRDefault="00C23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Hadasa Roso SL">
    <w:altName w:val="Times New Roman"/>
    <w:charset w:val="00"/>
    <w:family w:val="roman"/>
    <w:pitch w:val="variable"/>
    <w:sig w:usb0="80001827" w:usb1="5000004A" w:usb2="00000020" w:usb3="00000000" w:csb0="0000002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6961D5" w14:textId="77777777" w:rsidR="001A0623" w:rsidRDefault="001A0623" w:rsidP="001207F8">
    <w:pPr>
      <w:pStyle w:val="a9"/>
      <w:framePr w:wrap="around" w:vAnchor="text" w:hAnchor="text" w:xAlign="center" w:y="1"/>
      <w:rPr>
        <w:rStyle w:val="ab"/>
      </w:rPr>
    </w:pPr>
    <w:r>
      <w:rPr>
        <w:rStyle w:val="ab"/>
        <w:rtl/>
      </w:rPr>
      <w:fldChar w:fldCharType="begin"/>
    </w:r>
    <w:r>
      <w:rPr>
        <w:rStyle w:val="ab"/>
      </w:rPr>
      <w:instrText xml:space="preserve">PAGE  </w:instrText>
    </w:r>
    <w:r>
      <w:rPr>
        <w:rStyle w:val="ab"/>
        <w:rtl/>
      </w:rPr>
      <w:fldChar w:fldCharType="end"/>
    </w:r>
  </w:p>
  <w:p w14:paraId="7F6961D6" w14:textId="77777777" w:rsidR="001A0623" w:rsidRDefault="001A0623">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6961D7" w14:textId="77777777" w:rsidR="001A0623" w:rsidRDefault="001A0623" w:rsidP="001207F8">
    <w:pPr>
      <w:pStyle w:val="a9"/>
      <w:framePr w:wrap="around" w:vAnchor="text" w:hAnchor="text" w:xAlign="center" w:y="1"/>
      <w:rPr>
        <w:rStyle w:val="ab"/>
      </w:rPr>
    </w:pPr>
    <w:r>
      <w:rPr>
        <w:rStyle w:val="ab"/>
        <w:rtl/>
      </w:rPr>
      <w:fldChar w:fldCharType="begin"/>
    </w:r>
    <w:r>
      <w:rPr>
        <w:rStyle w:val="ab"/>
      </w:rPr>
      <w:instrText xml:space="preserve">PAGE  </w:instrText>
    </w:r>
    <w:r>
      <w:rPr>
        <w:rStyle w:val="ab"/>
        <w:rtl/>
      </w:rPr>
      <w:fldChar w:fldCharType="separate"/>
    </w:r>
    <w:r w:rsidR="005B3CA2">
      <w:rPr>
        <w:rStyle w:val="ab"/>
        <w:noProof/>
        <w:rtl/>
      </w:rPr>
      <w:t>2</w:t>
    </w:r>
    <w:r>
      <w:rPr>
        <w:rStyle w:val="ab"/>
        <w:rtl/>
      </w:rPr>
      <w:fldChar w:fldCharType="end"/>
    </w:r>
  </w:p>
  <w:p w14:paraId="7F6961D8" w14:textId="77777777" w:rsidR="001A0623" w:rsidRDefault="001A062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6961D0" w14:textId="77777777" w:rsidR="00C23B1A" w:rsidRDefault="00C23B1A">
      <w:r>
        <w:separator/>
      </w:r>
    </w:p>
  </w:footnote>
  <w:footnote w:type="continuationSeparator" w:id="0">
    <w:p w14:paraId="7F6961D1" w14:textId="77777777" w:rsidR="00C23B1A" w:rsidRDefault="00C23B1A">
      <w:r>
        <w:continuationSeparator/>
      </w:r>
    </w:p>
  </w:footnote>
  <w:footnote w:type="continuationNotice" w:id="1">
    <w:p w14:paraId="7F6961D2" w14:textId="77777777" w:rsidR="00C23B1A" w:rsidRDefault="00C23B1A"/>
  </w:footnote>
  <w:footnote w:id="2">
    <w:p w14:paraId="263CF945" w14:textId="77777777" w:rsidR="00222018" w:rsidRDefault="00222018" w:rsidP="00222018">
      <w:pPr>
        <w:pStyle w:val="a4"/>
        <w:rPr>
          <w:rtl/>
        </w:rPr>
      </w:pPr>
      <w:r>
        <w:rPr>
          <w:rStyle w:val="a6"/>
        </w:rPr>
        <w:footnoteRef/>
      </w:r>
      <w:r>
        <w:rPr>
          <w:rtl/>
        </w:rPr>
        <w:t xml:space="preserve"> </w:t>
      </w:r>
      <w:r>
        <w:rPr>
          <w:rFonts w:hint="cs"/>
          <w:rtl/>
        </w:rPr>
        <w:t xml:space="preserve">ס"ח </w:t>
      </w:r>
      <w:proofErr w:type="spellStart"/>
      <w:r>
        <w:rPr>
          <w:rFonts w:hint="cs"/>
          <w:rtl/>
        </w:rPr>
        <w:t>התשי"ח</w:t>
      </w:r>
      <w:proofErr w:type="spellEnd"/>
      <w:r>
        <w:rPr>
          <w:rFonts w:hint="cs"/>
          <w:rtl/>
        </w:rPr>
        <w:t xml:space="preserve">, עמ' 112.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F6AAD98"/>
    <w:lvl w:ilvl="0">
      <w:start w:val="1"/>
      <w:numFmt w:val="decimal"/>
      <w:lvlText w:val="%1."/>
      <w:lvlJc w:val="left"/>
      <w:pPr>
        <w:tabs>
          <w:tab w:val="num" w:pos="1492"/>
        </w:tabs>
        <w:ind w:left="1492" w:hanging="360"/>
      </w:pPr>
    </w:lvl>
  </w:abstractNum>
  <w:abstractNum w:abstractNumId="1">
    <w:nsid w:val="FFFFFF7D"/>
    <w:multiLevelType w:val="singleLevel"/>
    <w:tmpl w:val="7D5CAEA8"/>
    <w:lvl w:ilvl="0">
      <w:start w:val="1"/>
      <w:numFmt w:val="decimal"/>
      <w:lvlText w:val="%1."/>
      <w:lvlJc w:val="left"/>
      <w:pPr>
        <w:tabs>
          <w:tab w:val="num" w:pos="1209"/>
        </w:tabs>
        <w:ind w:left="1209" w:hanging="360"/>
      </w:pPr>
    </w:lvl>
  </w:abstractNum>
  <w:abstractNum w:abstractNumId="2">
    <w:nsid w:val="FFFFFF7E"/>
    <w:multiLevelType w:val="singleLevel"/>
    <w:tmpl w:val="67E88A74"/>
    <w:lvl w:ilvl="0">
      <w:start w:val="1"/>
      <w:numFmt w:val="decimal"/>
      <w:lvlText w:val="%1."/>
      <w:lvlJc w:val="left"/>
      <w:pPr>
        <w:tabs>
          <w:tab w:val="num" w:pos="926"/>
        </w:tabs>
        <w:ind w:left="926" w:hanging="360"/>
      </w:pPr>
    </w:lvl>
  </w:abstractNum>
  <w:abstractNum w:abstractNumId="3">
    <w:nsid w:val="FFFFFF7F"/>
    <w:multiLevelType w:val="singleLevel"/>
    <w:tmpl w:val="45DA1EB8"/>
    <w:lvl w:ilvl="0">
      <w:start w:val="1"/>
      <w:numFmt w:val="decimal"/>
      <w:lvlText w:val="%1."/>
      <w:lvlJc w:val="left"/>
      <w:pPr>
        <w:tabs>
          <w:tab w:val="num" w:pos="643"/>
        </w:tabs>
        <w:ind w:left="643" w:hanging="360"/>
      </w:pPr>
    </w:lvl>
  </w:abstractNum>
  <w:abstractNum w:abstractNumId="4">
    <w:nsid w:val="FFFFFF80"/>
    <w:multiLevelType w:val="singleLevel"/>
    <w:tmpl w:val="0A3056D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222F1D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406C9A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BFE925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9424606"/>
    <w:lvl w:ilvl="0">
      <w:start w:val="1"/>
      <w:numFmt w:val="decimal"/>
      <w:lvlText w:val="%1."/>
      <w:lvlJc w:val="left"/>
      <w:pPr>
        <w:tabs>
          <w:tab w:val="num" w:pos="360"/>
        </w:tabs>
        <w:ind w:left="360" w:hanging="360"/>
      </w:pPr>
    </w:lvl>
  </w:abstractNum>
  <w:abstractNum w:abstractNumId="9">
    <w:nsid w:val="FFFFFF89"/>
    <w:multiLevelType w:val="singleLevel"/>
    <w:tmpl w:val="84D088A0"/>
    <w:lvl w:ilvl="0">
      <w:start w:val="1"/>
      <w:numFmt w:val="bullet"/>
      <w:lvlText w:val=""/>
      <w:lvlJc w:val="left"/>
      <w:pPr>
        <w:tabs>
          <w:tab w:val="num" w:pos="360"/>
        </w:tabs>
        <w:ind w:left="360" w:hanging="360"/>
      </w:pPr>
      <w:rPr>
        <w:rFonts w:ascii="Symbol" w:hAnsi="Symbol" w:hint="default"/>
      </w:rPr>
    </w:lvl>
  </w:abstractNum>
  <w:abstractNum w:abstractNumId="10">
    <w:nsid w:val="1CDD78F3"/>
    <w:multiLevelType w:val="hybridMultilevel"/>
    <w:tmpl w:val="9E4C4E42"/>
    <w:lvl w:ilvl="0" w:tplc="861C87C0">
      <w:start w:val="1"/>
      <w:numFmt w:val="decimal"/>
      <w:lvlText w:val="(%1)"/>
      <w:lvlJc w:val="left"/>
      <w:pPr>
        <w:tabs>
          <w:tab w:val="num" w:pos="624"/>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FB0598A"/>
    <w:multiLevelType w:val="hybridMultilevel"/>
    <w:tmpl w:val="746CCEE6"/>
    <w:lvl w:ilvl="0" w:tplc="040D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53C544D"/>
    <w:multiLevelType w:val="hybridMultilevel"/>
    <w:tmpl w:val="B170A16C"/>
    <w:lvl w:ilvl="0" w:tplc="746489A4">
      <w:start w:val="1"/>
      <w:numFmt w:val="decimal"/>
      <w:lvlText w:val="%1."/>
      <w:lvlJc w:val="left"/>
      <w:pPr>
        <w:tabs>
          <w:tab w:val="num" w:pos="0"/>
        </w:tabs>
        <w:ind w:left="0" w:firstLine="0"/>
      </w:pPr>
      <w:rPr>
        <w:rFonts w:hint="default"/>
      </w:rPr>
    </w:lvl>
    <w:lvl w:ilvl="1" w:tplc="D3D4E8B2">
      <w:start w:val="1"/>
      <w:numFmt w:val="decimal"/>
      <w:lvlText w:val="(%2)"/>
      <w:lvlJc w:val="left"/>
      <w:pPr>
        <w:tabs>
          <w:tab w:val="num" w:pos="624"/>
        </w:tabs>
        <w:ind w:left="0" w:firstLine="0"/>
      </w:pPr>
      <w:rPr>
        <w:rFonts w:hint="default"/>
      </w:rPr>
    </w:lvl>
    <w:lvl w:ilvl="2" w:tplc="5D2AB1E4">
      <w:start w:val="1"/>
      <w:numFmt w:val="hebrew1"/>
      <w:lvlText w:val="(%3)"/>
      <w:lvlJc w:val="left"/>
      <w:pPr>
        <w:tabs>
          <w:tab w:val="num" w:pos="624"/>
        </w:tabs>
        <w:ind w:left="0" w:firstLine="0"/>
      </w:pPr>
      <w:rPr>
        <w:rFonts w:hint="default"/>
      </w:rPr>
    </w:lvl>
    <w:lvl w:ilvl="3" w:tplc="1F820BA4">
      <w:start w:val="1"/>
      <w:numFmt w:val="hebrew1"/>
      <w:lvlRestart w:val="0"/>
      <w:lvlText w:val="(%4)"/>
      <w:lvlJc w:val="left"/>
      <w:pPr>
        <w:tabs>
          <w:tab w:val="num" w:pos="624"/>
        </w:tabs>
        <w:ind w:left="0" w:firstLine="0"/>
      </w:pPr>
      <w:rPr>
        <w:rFonts w:hint="default"/>
      </w:rPr>
    </w:lvl>
    <w:lvl w:ilvl="4" w:tplc="62C6E096">
      <w:start w:val="1"/>
      <w:numFmt w:val="decimal"/>
      <w:lvlRestart w:val="0"/>
      <w:lvlText w:val="(%5)"/>
      <w:lvlJc w:val="left"/>
      <w:pPr>
        <w:tabs>
          <w:tab w:val="num" w:pos="3864"/>
        </w:tabs>
        <w:ind w:left="3240" w:firstLine="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5C858E4"/>
    <w:multiLevelType w:val="hybridMultilevel"/>
    <w:tmpl w:val="882C6ED4"/>
    <w:lvl w:ilvl="0" w:tplc="4112A21E">
      <w:start w:val="1"/>
      <w:numFmt w:val="hebrew1"/>
      <w:lvlRestart w:val="0"/>
      <w:lvlText w:val="(%1)"/>
      <w:lvlJc w:val="left"/>
      <w:pPr>
        <w:tabs>
          <w:tab w:val="num" w:pos="624"/>
        </w:tabs>
        <w:ind w:left="0" w:firstLine="0"/>
      </w:pPr>
      <w:rPr>
        <w:rFonts w:hint="default"/>
      </w:rPr>
    </w:lvl>
    <w:lvl w:ilvl="1" w:tplc="49082BE6">
      <w:start w:val="1"/>
      <w:numFmt w:val="decimal"/>
      <w:lvlRestart w:val="0"/>
      <w:lvlText w:val="(%2)"/>
      <w:lvlJc w:val="left"/>
      <w:pPr>
        <w:tabs>
          <w:tab w:val="num" w:pos="1704"/>
        </w:tabs>
        <w:ind w:left="1080" w:firstLine="0"/>
      </w:pPr>
      <w:rPr>
        <w:rFonts w:hint="default"/>
      </w:rPr>
    </w:lvl>
    <w:lvl w:ilvl="2" w:tplc="48C06176">
      <w:start w:val="1"/>
      <w:numFmt w:val="decimal"/>
      <w:lvlRestart w:val="0"/>
      <w:lvlText w:val="(%3)"/>
      <w:lvlJc w:val="left"/>
      <w:pPr>
        <w:tabs>
          <w:tab w:val="num" w:pos="2604"/>
        </w:tabs>
        <w:ind w:left="1980" w:firstLine="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riginalName" w:val="tmp482240lsCopyOriginal.docx"/>
    <w:docVar w:name="StartMode" w:val="2"/>
  </w:docVars>
  <w:rsids>
    <w:rsidRoot w:val="00DB7060"/>
    <w:rsid w:val="0000131B"/>
    <w:rsid w:val="00015B27"/>
    <w:rsid w:val="0007681A"/>
    <w:rsid w:val="000A542E"/>
    <w:rsid w:val="00102B6B"/>
    <w:rsid w:val="001052D4"/>
    <w:rsid w:val="0010644B"/>
    <w:rsid w:val="001207F8"/>
    <w:rsid w:val="00121924"/>
    <w:rsid w:val="001279A8"/>
    <w:rsid w:val="0014195F"/>
    <w:rsid w:val="00152609"/>
    <w:rsid w:val="00153E1B"/>
    <w:rsid w:val="001A0623"/>
    <w:rsid w:val="001C23B0"/>
    <w:rsid w:val="00203A7F"/>
    <w:rsid w:val="002200A1"/>
    <w:rsid w:val="00222018"/>
    <w:rsid w:val="002362BF"/>
    <w:rsid w:val="00241B97"/>
    <w:rsid w:val="00246756"/>
    <w:rsid w:val="00251E58"/>
    <w:rsid w:val="00254605"/>
    <w:rsid w:val="002728B4"/>
    <w:rsid w:val="0027600C"/>
    <w:rsid w:val="00292712"/>
    <w:rsid w:val="002A487D"/>
    <w:rsid w:val="002C2E29"/>
    <w:rsid w:val="002D1EE3"/>
    <w:rsid w:val="002F1D80"/>
    <w:rsid w:val="003232A2"/>
    <w:rsid w:val="00325C14"/>
    <w:rsid w:val="003710F6"/>
    <w:rsid w:val="00386E88"/>
    <w:rsid w:val="00396585"/>
    <w:rsid w:val="003D74A0"/>
    <w:rsid w:val="004033D8"/>
    <w:rsid w:val="004073F0"/>
    <w:rsid w:val="00412A7D"/>
    <w:rsid w:val="00416B4D"/>
    <w:rsid w:val="00417CFC"/>
    <w:rsid w:val="004B24ED"/>
    <w:rsid w:val="004D2D82"/>
    <w:rsid w:val="004D3876"/>
    <w:rsid w:val="004E4552"/>
    <w:rsid w:val="00553C9D"/>
    <w:rsid w:val="00562A66"/>
    <w:rsid w:val="005B064E"/>
    <w:rsid w:val="005B3CA2"/>
    <w:rsid w:val="005D51AE"/>
    <w:rsid w:val="0062674B"/>
    <w:rsid w:val="006363B2"/>
    <w:rsid w:val="00644940"/>
    <w:rsid w:val="006818A9"/>
    <w:rsid w:val="006A2D81"/>
    <w:rsid w:val="006C1D0D"/>
    <w:rsid w:val="0070601E"/>
    <w:rsid w:val="00712C72"/>
    <w:rsid w:val="00735FE9"/>
    <w:rsid w:val="00763CAA"/>
    <w:rsid w:val="00765F66"/>
    <w:rsid w:val="007C3FA6"/>
    <w:rsid w:val="007D585A"/>
    <w:rsid w:val="007D5A12"/>
    <w:rsid w:val="007E59F9"/>
    <w:rsid w:val="00810BCD"/>
    <w:rsid w:val="00812C98"/>
    <w:rsid w:val="00814D92"/>
    <w:rsid w:val="0083181D"/>
    <w:rsid w:val="00874BBC"/>
    <w:rsid w:val="00892135"/>
    <w:rsid w:val="00895449"/>
    <w:rsid w:val="00897879"/>
    <w:rsid w:val="008A3E2C"/>
    <w:rsid w:val="008A6870"/>
    <w:rsid w:val="008C2DDC"/>
    <w:rsid w:val="008C7516"/>
    <w:rsid w:val="008E6EC7"/>
    <w:rsid w:val="008F0D63"/>
    <w:rsid w:val="008F2C35"/>
    <w:rsid w:val="008F2FE7"/>
    <w:rsid w:val="008F6665"/>
    <w:rsid w:val="0091204F"/>
    <w:rsid w:val="009203DB"/>
    <w:rsid w:val="00923CD4"/>
    <w:rsid w:val="00943386"/>
    <w:rsid w:val="009456B6"/>
    <w:rsid w:val="00957589"/>
    <w:rsid w:val="00966D06"/>
    <w:rsid w:val="00982412"/>
    <w:rsid w:val="00983A8D"/>
    <w:rsid w:val="009A7257"/>
    <w:rsid w:val="009D6E0A"/>
    <w:rsid w:val="00A14672"/>
    <w:rsid w:val="00A26BD6"/>
    <w:rsid w:val="00A443CF"/>
    <w:rsid w:val="00A6611D"/>
    <w:rsid w:val="00A82CB7"/>
    <w:rsid w:val="00AA2F03"/>
    <w:rsid w:val="00AC36F7"/>
    <w:rsid w:val="00AC63A4"/>
    <w:rsid w:val="00AD239E"/>
    <w:rsid w:val="00B10265"/>
    <w:rsid w:val="00B21211"/>
    <w:rsid w:val="00B35784"/>
    <w:rsid w:val="00B733A7"/>
    <w:rsid w:val="00B975AD"/>
    <w:rsid w:val="00BC45FB"/>
    <w:rsid w:val="00BF148D"/>
    <w:rsid w:val="00C23B1A"/>
    <w:rsid w:val="00C310EB"/>
    <w:rsid w:val="00C9176A"/>
    <w:rsid w:val="00CF1AA2"/>
    <w:rsid w:val="00D63620"/>
    <w:rsid w:val="00D75886"/>
    <w:rsid w:val="00D8410D"/>
    <w:rsid w:val="00D867D7"/>
    <w:rsid w:val="00DB7060"/>
    <w:rsid w:val="00DE3153"/>
    <w:rsid w:val="00E06736"/>
    <w:rsid w:val="00E13C27"/>
    <w:rsid w:val="00E33BBD"/>
    <w:rsid w:val="00E45103"/>
    <w:rsid w:val="00E665B9"/>
    <w:rsid w:val="00EA01E6"/>
    <w:rsid w:val="00EA3DE8"/>
    <w:rsid w:val="00EA758F"/>
    <w:rsid w:val="00ED4A6F"/>
    <w:rsid w:val="00EF3A3A"/>
    <w:rsid w:val="00F44C02"/>
    <w:rsid w:val="00F628D6"/>
    <w:rsid w:val="00F67051"/>
    <w:rsid w:val="00FA5E8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o:shapedefaults>
    <o:shapelayout v:ext="edit">
      <o:idmap v:ext="edit" data="1"/>
    </o:shapelayout>
  </w:shapeDefaults>
  <w:doNotEmbedSmartTags/>
  <w:decimalSymbol w:val="."/>
  <w:listSeparator w:val=","/>
  <w14:docId w14:val="7F696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75AD"/>
    <w:pPr>
      <w:widowControl w:val="0"/>
      <w:autoSpaceDE w:val="0"/>
      <w:autoSpaceDN w:val="0"/>
      <w:bidi/>
      <w:adjustRightInd w:val="0"/>
      <w:spacing w:before="102" w:line="204" w:lineRule="atLeast"/>
      <w:ind w:firstLine="340"/>
      <w:jc w:val="both"/>
      <w:textAlignment w:val="center"/>
    </w:pPr>
    <w:rPr>
      <w:rFonts w:ascii="Hadasa Roso SL" w:hAnsi="Hadasa Roso SL" w:cs="Hadasa Roso SL"/>
      <w:color w:val="000000"/>
      <w:spacing w:val="1"/>
      <w:sz w:val="17"/>
      <w:szCs w:val="17"/>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paragraphstyle">
    <w:name w:val="[No paragraph style]"/>
    <w:rsid w:val="00943386"/>
    <w:pPr>
      <w:widowControl w:val="0"/>
      <w:autoSpaceDE w:val="0"/>
      <w:autoSpaceDN w:val="0"/>
      <w:bidi/>
      <w:adjustRightInd w:val="0"/>
      <w:snapToGrid w:val="0"/>
      <w:spacing w:line="360" w:lineRule="auto"/>
      <w:textAlignment w:val="center"/>
    </w:pPr>
    <w:rPr>
      <w:rFonts w:ascii="Arial" w:eastAsia="Arial Unicode MS" w:hAnsi="Arial" w:cs="David"/>
      <w:snapToGrid w:val="0"/>
      <w:color w:val="000000"/>
      <w:szCs w:val="26"/>
      <w:lang w:eastAsia="ja-JP"/>
    </w:rPr>
  </w:style>
  <w:style w:type="paragraph" w:customStyle="1" w:styleId="Cover1-Reshumot">
    <w:name w:val="Cover 1-Reshumot"/>
    <w:basedOn w:val="a"/>
    <w:rsid w:val="00B975AD"/>
    <w:pPr>
      <w:tabs>
        <w:tab w:val="left" w:pos="1191"/>
        <w:tab w:val="left" w:pos="1587"/>
      </w:tabs>
      <w:snapToGrid w:val="0"/>
      <w:spacing w:before="240" w:after="240" w:line="480" w:lineRule="auto"/>
      <w:ind w:firstLine="0"/>
      <w:jc w:val="center"/>
    </w:pPr>
    <w:rPr>
      <w:rFonts w:ascii="Arial" w:eastAsia="Arial Unicode MS" w:hAnsi="Arial" w:cs="David"/>
      <w:snapToGrid w:val="0"/>
      <w:spacing w:val="0"/>
      <w:sz w:val="20"/>
      <w:szCs w:val="26"/>
    </w:rPr>
  </w:style>
  <w:style w:type="paragraph" w:customStyle="1" w:styleId="Cover2-HatzaotHok">
    <w:name w:val="Cover 2-HatzaotHok"/>
    <w:basedOn w:val="Cover1-Reshumot"/>
    <w:rsid w:val="00B975AD"/>
    <w:rPr>
      <w:sz w:val="36"/>
      <w:szCs w:val="52"/>
    </w:rPr>
  </w:style>
  <w:style w:type="paragraph" w:customStyle="1" w:styleId="Cover3-Haknesset">
    <w:name w:val="Cover 3-Haknesset"/>
    <w:basedOn w:val="Cover1-Reshumot"/>
    <w:rsid w:val="00B975AD"/>
    <w:rPr>
      <w:b/>
      <w:bCs/>
      <w:spacing w:val="60"/>
    </w:rPr>
  </w:style>
  <w:style w:type="paragraph" w:customStyle="1" w:styleId="Cover4-Date">
    <w:name w:val="Cover 4-Date"/>
    <w:basedOn w:val="a"/>
    <w:rsid w:val="00B975AD"/>
    <w:pPr>
      <w:pBdr>
        <w:bottom w:val="single" w:sz="4" w:space="0" w:color="auto"/>
      </w:pBdr>
      <w:tabs>
        <w:tab w:val="center" w:pos="4820"/>
        <w:tab w:val="right" w:pos="9639"/>
      </w:tabs>
      <w:snapToGrid w:val="0"/>
      <w:spacing w:before="240" w:after="240" w:line="360" w:lineRule="auto"/>
      <w:ind w:firstLine="0"/>
      <w:jc w:val="left"/>
    </w:pPr>
    <w:rPr>
      <w:rFonts w:ascii="Arial" w:eastAsia="Arial Unicode MS" w:hAnsi="Arial" w:cs="David"/>
      <w:snapToGrid w:val="0"/>
      <w:spacing w:val="0"/>
      <w:sz w:val="20"/>
      <w:szCs w:val="26"/>
    </w:rPr>
  </w:style>
  <w:style w:type="paragraph" w:customStyle="1" w:styleId="TOC">
    <w:name w:val="TOC"/>
    <w:basedOn w:val="Noparagraphstyle"/>
    <w:rsid w:val="00943386"/>
    <w:pPr>
      <w:tabs>
        <w:tab w:val="left" w:leader="dot" w:pos="8789"/>
      </w:tabs>
      <w:spacing w:before="120"/>
      <w:ind w:left="284" w:right="284"/>
    </w:pPr>
  </w:style>
  <w:style w:type="paragraph" w:customStyle="1" w:styleId="TOCpg">
    <w:name w:val="TOC pg"/>
    <w:basedOn w:val="TOC"/>
    <w:rsid w:val="00943386"/>
    <w:pPr>
      <w:spacing w:after="120"/>
      <w:ind w:right="567"/>
      <w:jc w:val="right"/>
    </w:pPr>
  </w:style>
  <w:style w:type="paragraph" w:customStyle="1" w:styleId="HeadMitparsemetBaze">
    <w:name w:val="Head MitparsemetBaze"/>
    <w:basedOn w:val="a"/>
    <w:rsid w:val="00B975AD"/>
    <w:pPr>
      <w:keepNext/>
      <w:keepLines/>
      <w:pageBreakBefore/>
      <w:snapToGrid w:val="0"/>
      <w:spacing w:before="480" w:line="360" w:lineRule="auto"/>
      <w:ind w:firstLine="0"/>
    </w:pPr>
    <w:rPr>
      <w:rFonts w:ascii="Arial" w:eastAsia="Arial Unicode MS" w:hAnsi="Arial" w:cs="David"/>
      <w:b/>
      <w:bCs/>
      <w:snapToGrid w:val="0"/>
      <w:spacing w:val="0"/>
      <w:sz w:val="20"/>
      <w:szCs w:val="26"/>
    </w:rPr>
  </w:style>
  <w:style w:type="paragraph" w:customStyle="1" w:styleId="HeadHatzaotHok">
    <w:name w:val="Head HatzaotHok"/>
    <w:basedOn w:val="a"/>
    <w:rsid w:val="00B975AD"/>
    <w:pPr>
      <w:keepNext/>
      <w:keepLines/>
      <w:snapToGrid w:val="0"/>
      <w:spacing w:before="240" w:line="360" w:lineRule="auto"/>
      <w:ind w:firstLine="0"/>
      <w:jc w:val="center"/>
    </w:pPr>
    <w:rPr>
      <w:rFonts w:ascii="Arial" w:eastAsia="Arial Unicode MS" w:hAnsi="Arial" w:cs="David"/>
      <w:b/>
      <w:bCs/>
      <w:snapToGrid w:val="0"/>
      <w:spacing w:val="0"/>
      <w:sz w:val="20"/>
      <w:szCs w:val="26"/>
    </w:rPr>
  </w:style>
  <w:style w:type="paragraph" w:customStyle="1" w:styleId="HeadHatzaotHok4Futer">
    <w:name w:val="Head HatzaotHok4Futer"/>
    <w:basedOn w:val="HeadHatzaotHok"/>
    <w:rsid w:val="00B975AD"/>
    <w:pPr>
      <w:spacing w:before="120" w:after="120"/>
    </w:pPr>
    <w:rPr>
      <w:color w:val="FF0000"/>
      <w:w w:val="80"/>
    </w:rPr>
  </w:style>
  <w:style w:type="paragraph" w:styleId="a3">
    <w:name w:val="endnote text"/>
    <w:basedOn w:val="a"/>
    <w:semiHidden/>
    <w:rsid w:val="00B975AD"/>
    <w:pPr>
      <w:ind w:left="227" w:hanging="227"/>
    </w:pPr>
    <w:rPr>
      <w:sz w:val="14"/>
      <w:szCs w:val="22"/>
    </w:rPr>
  </w:style>
  <w:style w:type="paragraph" w:customStyle="1" w:styleId="TableText">
    <w:name w:val="Table Text"/>
    <w:basedOn w:val="a"/>
    <w:rsid w:val="00B975AD"/>
    <w:pPr>
      <w:keepLines/>
      <w:tabs>
        <w:tab w:val="left" w:pos="624"/>
        <w:tab w:val="left" w:pos="1247"/>
      </w:tabs>
      <w:snapToGrid w:val="0"/>
      <w:spacing w:before="0" w:line="360" w:lineRule="auto"/>
      <w:ind w:right="57" w:firstLine="0"/>
      <w:jc w:val="left"/>
    </w:pPr>
    <w:rPr>
      <w:rFonts w:ascii="Arial" w:eastAsia="Arial Unicode MS" w:hAnsi="Arial" w:cs="David"/>
      <w:snapToGrid w:val="0"/>
      <w:spacing w:val="0"/>
      <w:sz w:val="20"/>
      <w:szCs w:val="26"/>
    </w:rPr>
  </w:style>
  <w:style w:type="paragraph" w:customStyle="1" w:styleId="TableSideHeading">
    <w:name w:val="Table SideHeading"/>
    <w:basedOn w:val="TableText"/>
    <w:rsid w:val="00B975AD"/>
  </w:style>
  <w:style w:type="paragraph" w:customStyle="1" w:styleId="TableBlock">
    <w:name w:val="Table Block"/>
    <w:basedOn w:val="TableText"/>
    <w:rsid w:val="00B975AD"/>
    <w:pPr>
      <w:ind w:right="0"/>
      <w:jc w:val="both"/>
    </w:pPr>
  </w:style>
  <w:style w:type="paragraph" w:customStyle="1" w:styleId="TableHead">
    <w:name w:val="Table Head"/>
    <w:basedOn w:val="TableText"/>
    <w:rsid w:val="00B975AD"/>
    <w:pPr>
      <w:ind w:right="0"/>
      <w:jc w:val="center"/>
    </w:pPr>
    <w:rPr>
      <w:b/>
      <w:bCs/>
    </w:rPr>
  </w:style>
  <w:style w:type="paragraph" w:customStyle="1" w:styleId="TableText2">
    <w:name w:val="Table Text2"/>
    <w:basedOn w:val="TableText"/>
    <w:rsid w:val="00943386"/>
  </w:style>
  <w:style w:type="paragraph" w:customStyle="1" w:styleId="TableInnerSideHeading">
    <w:name w:val="Table InnerSideHeading"/>
    <w:basedOn w:val="TableSideHeading"/>
    <w:rsid w:val="00B975AD"/>
  </w:style>
  <w:style w:type="paragraph" w:customStyle="1" w:styleId="Hesber">
    <w:name w:val="Hesber"/>
    <w:basedOn w:val="a"/>
    <w:rsid w:val="00B975AD"/>
    <w:pPr>
      <w:snapToGrid w:val="0"/>
      <w:spacing w:before="0" w:line="360" w:lineRule="auto"/>
    </w:pPr>
    <w:rPr>
      <w:rFonts w:ascii="Arial" w:eastAsia="Arial Unicode MS" w:hAnsi="Arial" w:cs="David"/>
      <w:snapToGrid w:val="0"/>
      <w:spacing w:val="0"/>
      <w:sz w:val="20"/>
      <w:szCs w:val="26"/>
    </w:rPr>
  </w:style>
  <w:style w:type="paragraph" w:styleId="a4">
    <w:name w:val="footnote text"/>
    <w:basedOn w:val="a"/>
    <w:link w:val="a5"/>
    <w:autoRedefine/>
    <w:semiHidden/>
    <w:rsid w:val="00B975AD"/>
    <w:pPr>
      <w:snapToGrid w:val="0"/>
      <w:spacing w:before="0" w:line="240" w:lineRule="auto"/>
      <w:ind w:left="227" w:hanging="227"/>
      <w:jc w:val="left"/>
    </w:pPr>
    <w:rPr>
      <w:rFonts w:ascii="Arial" w:eastAsia="Arial Unicode MS" w:hAnsi="Arial" w:cs="David"/>
      <w:snapToGrid w:val="0"/>
      <w:spacing w:val="0"/>
      <w:sz w:val="14"/>
      <w:szCs w:val="20"/>
    </w:rPr>
  </w:style>
  <w:style w:type="character" w:styleId="a6">
    <w:name w:val="footnote reference"/>
    <w:aliases w:val="Footnote Reference"/>
    <w:basedOn w:val="a0"/>
    <w:semiHidden/>
    <w:rsid w:val="00B975AD"/>
    <w:rPr>
      <w:vertAlign w:val="superscript"/>
    </w:rPr>
  </w:style>
  <w:style w:type="paragraph" w:customStyle="1" w:styleId="HesberHeading">
    <w:name w:val="Hesber Heading"/>
    <w:basedOn w:val="Hesber"/>
    <w:rsid w:val="00B975AD"/>
    <w:pPr>
      <w:tabs>
        <w:tab w:val="left" w:pos="624"/>
        <w:tab w:val="left" w:pos="1247"/>
      </w:tabs>
      <w:ind w:firstLine="0"/>
    </w:pPr>
    <w:rPr>
      <w:b/>
      <w:bCs/>
    </w:rPr>
  </w:style>
  <w:style w:type="paragraph" w:customStyle="1" w:styleId="HesberWriters">
    <w:name w:val="Hesber Writers"/>
    <w:basedOn w:val="Hesber"/>
    <w:rsid w:val="00B975AD"/>
    <w:pPr>
      <w:spacing w:before="120" w:after="6000"/>
      <w:ind w:left="1418" w:firstLine="0"/>
      <w:jc w:val="right"/>
    </w:pPr>
    <w:rPr>
      <w:b/>
      <w:bCs/>
    </w:rPr>
  </w:style>
  <w:style w:type="paragraph" w:customStyle="1" w:styleId="Hesber1st">
    <w:name w:val="Hesber 1st"/>
    <w:basedOn w:val="Hesber"/>
    <w:rsid w:val="00B975AD"/>
    <w:pPr>
      <w:tabs>
        <w:tab w:val="left" w:pos="680"/>
        <w:tab w:val="left" w:pos="1020"/>
      </w:tabs>
      <w:ind w:firstLine="0"/>
    </w:pPr>
  </w:style>
  <w:style w:type="character" w:styleId="a7">
    <w:name w:val="endnote reference"/>
    <w:basedOn w:val="a0"/>
    <w:semiHidden/>
    <w:rsid w:val="00B975AD"/>
    <w:rPr>
      <w:vertAlign w:val="superscript"/>
    </w:rPr>
  </w:style>
  <w:style w:type="paragraph" w:customStyle="1" w:styleId="TableBlockOutdent">
    <w:name w:val="Table BlockOutdent"/>
    <w:basedOn w:val="TableBlock"/>
    <w:rsid w:val="00B975AD"/>
    <w:pPr>
      <w:ind w:left="624" w:hanging="624"/>
    </w:pPr>
  </w:style>
  <w:style w:type="paragraph" w:styleId="a8">
    <w:name w:val="header"/>
    <w:basedOn w:val="a"/>
    <w:rsid w:val="00B975AD"/>
    <w:pPr>
      <w:tabs>
        <w:tab w:val="center" w:pos="4153"/>
        <w:tab w:val="right" w:pos="8306"/>
      </w:tabs>
    </w:pPr>
  </w:style>
  <w:style w:type="paragraph" w:styleId="a9">
    <w:name w:val="footer"/>
    <w:basedOn w:val="a"/>
    <w:rsid w:val="00B975AD"/>
    <w:pPr>
      <w:tabs>
        <w:tab w:val="center" w:pos="4153"/>
        <w:tab w:val="right" w:pos="8306"/>
      </w:tabs>
    </w:pPr>
  </w:style>
  <w:style w:type="paragraph" w:customStyle="1" w:styleId="HeadDivreiHesber">
    <w:name w:val="Head DivreiHesber"/>
    <w:basedOn w:val="a"/>
    <w:rsid w:val="00B975AD"/>
    <w:pPr>
      <w:snapToGrid w:val="0"/>
      <w:spacing w:before="360" w:after="120" w:line="360" w:lineRule="auto"/>
      <w:ind w:firstLine="0"/>
      <w:jc w:val="center"/>
    </w:pPr>
    <w:rPr>
      <w:rFonts w:ascii="Arial" w:eastAsia="Arial Unicode MS" w:hAnsi="Arial" w:cs="David"/>
      <w:b/>
      <w:snapToGrid w:val="0"/>
      <w:spacing w:val="40"/>
      <w:sz w:val="20"/>
      <w:szCs w:val="26"/>
    </w:rPr>
  </w:style>
  <w:style w:type="paragraph" w:customStyle="1" w:styleId="Ragil">
    <w:name w:val="Ragil"/>
    <w:basedOn w:val="a"/>
    <w:rsid w:val="00B975AD"/>
    <w:pPr>
      <w:snapToGrid w:val="0"/>
      <w:spacing w:before="0" w:line="360" w:lineRule="auto"/>
      <w:jc w:val="left"/>
    </w:pPr>
    <w:rPr>
      <w:rFonts w:ascii="Arial" w:eastAsia="Arial Unicode MS" w:hAnsi="Arial" w:cs="David"/>
      <w:snapToGrid w:val="0"/>
      <w:spacing w:val="0"/>
      <w:sz w:val="20"/>
      <w:szCs w:val="26"/>
    </w:rPr>
  </w:style>
  <w:style w:type="paragraph" w:styleId="aa">
    <w:name w:val="Title"/>
    <w:basedOn w:val="a"/>
    <w:qFormat/>
    <w:rsid w:val="00943386"/>
    <w:pPr>
      <w:jc w:val="center"/>
    </w:pPr>
    <w:rPr>
      <w:rFonts w:cs="David"/>
      <w:b/>
      <w:bCs/>
      <w:sz w:val="28"/>
      <w:szCs w:val="28"/>
      <w:u w:val="single"/>
    </w:rPr>
  </w:style>
  <w:style w:type="character" w:styleId="ab">
    <w:name w:val="page number"/>
    <w:basedOn w:val="a0"/>
    <w:rsid w:val="00B975AD"/>
  </w:style>
  <w:style w:type="paragraph" w:customStyle="1" w:styleId="David">
    <w:name w:val="רגיל + (עברית ושפות אחרות) David"/>
    <w:aliases w:val="‏13 נק',מודגש,אחרי:  6 נק'"/>
    <w:basedOn w:val="a"/>
    <w:rsid w:val="001207F8"/>
    <w:pPr>
      <w:ind w:firstLine="0"/>
      <w:jc w:val="left"/>
    </w:pPr>
    <w:rPr>
      <w:rFonts w:cs="David"/>
      <w:sz w:val="26"/>
      <w:szCs w:val="26"/>
    </w:rPr>
  </w:style>
  <w:style w:type="paragraph" w:styleId="ac">
    <w:name w:val="Balloon Text"/>
    <w:basedOn w:val="a"/>
    <w:link w:val="ad"/>
    <w:semiHidden/>
    <w:unhideWhenUsed/>
    <w:rsid w:val="00325C14"/>
    <w:pPr>
      <w:spacing w:before="0" w:line="240" w:lineRule="auto"/>
    </w:pPr>
    <w:rPr>
      <w:rFonts w:ascii="Tahoma" w:hAnsi="Tahoma" w:cs="Tahoma"/>
      <w:sz w:val="16"/>
      <w:szCs w:val="16"/>
    </w:rPr>
  </w:style>
  <w:style w:type="character" w:customStyle="1" w:styleId="ad">
    <w:name w:val="טקסט בלונים תו"/>
    <w:basedOn w:val="a0"/>
    <w:link w:val="ac"/>
    <w:semiHidden/>
    <w:rsid w:val="00325C14"/>
    <w:rPr>
      <w:rFonts w:ascii="Tahoma" w:hAnsi="Tahoma" w:cs="Tahoma"/>
      <w:color w:val="000000"/>
      <w:spacing w:val="1"/>
      <w:sz w:val="16"/>
      <w:szCs w:val="16"/>
      <w:lang w:eastAsia="ja-JP"/>
    </w:rPr>
  </w:style>
  <w:style w:type="character" w:customStyle="1" w:styleId="a5">
    <w:name w:val="טקסט הערת שוליים תו"/>
    <w:basedOn w:val="a0"/>
    <w:link w:val="a4"/>
    <w:semiHidden/>
    <w:rsid w:val="00222018"/>
    <w:rPr>
      <w:rFonts w:ascii="Arial" w:eastAsia="Arial Unicode MS" w:hAnsi="Arial" w:cs="David"/>
      <w:snapToGrid w:val="0"/>
      <w:color w:val="000000"/>
      <w:sz w:val="1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75AD"/>
    <w:pPr>
      <w:widowControl w:val="0"/>
      <w:autoSpaceDE w:val="0"/>
      <w:autoSpaceDN w:val="0"/>
      <w:bidi/>
      <w:adjustRightInd w:val="0"/>
      <w:spacing w:before="102" w:line="204" w:lineRule="atLeast"/>
      <w:ind w:firstLine="340"/>
      <w:jc w:val="both"/>
      <w:textAlignment w:val="center"/>
    </w:pPr>
    <w:rPr>
      <w:rFonts w:ascii="Hadasa Roso SL" w:hAnsi="Hadasa Roso SL" w:cs="Hadasa Roso SL"/>
      <w:color w:val="000000"/>
      <w:spacing w:val="1"/>
      <w:sz w:val="17"/>
      <w:szCs w:val="17"/>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paragraphstyle">
    <w:name w:val="[No paragraph style]"/>
    <w:rsid w:val="00943386"/>
    <w:pPr>
      <w:widowControl w:val="0"/>
      <w:autoSpaceDE w:val="0"/>
      <w:autoSpaceDN w:val="0"/>
      <w:bidi/>
      <w:adjustRightInd w:val="0"/>
      <w:snapToGrid w:val="0"/>
      <w:spacing w:line="360" w:lineRule="auto"/>
      <w:textAlignment w:val="center"/>
    </w:pPr>
    <w:rPr>
      <w:rFonts w:ascii="Arial" w:eastAsia="Arial Unicode MS" w:hAnsi="Arial" w:cs="David"/>
      <w:snapToGrid w:val="0"/>
      <w:color w:val="000000"/>
      <w:szCs w:val="26"/>
      <w:lang w:eastAsia="ja-JP"/>
    </w:rPr>
  </w:style>
  <w:style w:type="paragraph" w:customStyle="1" w:styleId="Cover1-Reshumot">
    <w:name w:val="Cover 1-Reshumot"/>
    <w:basedOn w:val="a"/>
    <w:rsid w:val="00B975AD"/>
    <w:pPr>
      <w:tabs>
        <w:tab w:val="left" w:pos="1191"/>
        <w:tab w:val="left" w:pos="1587"/>
      </w:tabs>
      <w:snapToGrid w:val="0"/>
      <w:spacing w:before="240" w:after="240" w:line="480" w:lineRule="auto"/>
      <w:ind w:firstLine="0"/>
      <w:jc w:val="center"/>
    </w:pPr>
    <w:rPr>
      <w:rFonts w:ascii="Arial" w:eastAsia="Arial Unicode MS" w:hAnsi="Arial" w:cs="David"/>
      <w:snapToGrid w:val="0"/>
      <w:spacing w:val="0"/>
      <w:sz w:val="20"/>
      <w:szCs w:val="26"/>
    </w:rPr>
  </w:style>
  <w:style w:type="paragraph" w:customStyle="1" w:styleId="Cover2-HatzaotHok">
    <w:name w:val="Cover 2-HatzaotHok"/>
    <w:basedOn w:val="Cover1-Reshumot"/>
    <w:rsid w:val="00B975AD"/>
    <w:rPr>
      <w:sz w:val="36"/>
      <w:szCs w:val="52"/>
    </w:rPr>
  </w:style>
  <w:style w:type="paragraph" w:customStyle="1" w:styleId="Cover3-Haknesset">
    <w:name w:val="Cover 3-Haknesset"/>
    <w:basedOn w:val="Cover1-Reshumot"/>
    <w:rsid w:val="00B975AD"/>
    <w:rPr>
      <w:b/>
      <w:bCs/>
      <w:spacing w:val="60"/>
    </w:rPr>
  </w:style>
  <w:style w:type="paragraph" w:customStyle="1" w:styleId="Cover4-Date">
    <w:name w:val="Cover 4-Date"/>
    <w:basedOn w:val="a"/>
    <w:rsid w:val="00B975AD"/>
    <w:pPr>
      <w:pBdr>
        <w:bottom w:val="single" w:sz="4" w:space="0" w:color="auto"/>
      </w:pBdr>
      <w:tabs>
        <w:tab w:val="center" w:pos="4820"/>
        <w:tab w:val="right" w:pos="9639"/>
      </w:tabs>
      <w:snapToGrid w:val="0"/>
      <w:spacing w:before="240" w:after="240" w:line="360" w:lineRule="auto"/>
      <w:ind w:firstLine="0"/>
      <w:jc w:val="left"/>
    </w:pPr>
    <w:rPr>
      <w:rFonts w:ascii="Arial" w:eastAsia="Arial Unicode MS" w:hAnsi="Arial" w:cs="David"/>
      <w:snapToGrid w:val="0"/>
      <w:spacing w:val="0"/>
      <w:sz w:val="20"/>
      <w:szCs w:val="26"/>
    </w:rPr>
  </w:style>
  <w:style w:type="paragraph" w:customStyle="1" w:styleId="TOC">
    <w:name w:val="TOC"/>
    <w:basedOn w:val="Noparagraphstyle"/>
    <w:rsid w:val="00943386"/>
    <w:pPr>
      <w:tabs>
        <w:tab w:val="left" w:leader="dot" w:pos="8789"/>
      </w:tabs>
      <w:spacing w:before="120"/>
      <w:ind w:left="284" w:right="284"/>
    </w:pPr>
  </w:style>
  <w:style w:type="paragraph" w:customStyle="1" w:styleId="TOCpg">
    <w:name w:val="TOC pg"/>
    <w:basedOn w:val="TOC"/>
    <w:rsid w:val="00943386"/>
    <w:pPr>
      <w:spacing w:after="120"/>
      <w:ind w:right="567"/>
      <w:jc w:val="right"/>
    </w:pPr>
  </w:style>
  <w:style w:type="paragraph" w:customStyle="1" w:styleId="HeadMitparsemetBaze">
    <w:name w:val="Head MitparsemetBaze"/>
    <w:basedOn w:val="a"/>
    <w:rsid w:val="00B975AD"/>
    <w:pPr>
      <w:keepNext/>
      <w:keepLines/>
      <w:pageBreakBefore/>
      <w:snapToGrid w:val="0"/>
      <w:spacing w:before="480" w:line="360" w:lineRule="auto"/>
      <w:ind w:firstLine="0"/>
    </w:pPr>
    <w:rPr>
      <w:rFonts w:ascii="Arial" w:eastAsia="Arial Unicode MS" w:hAnsi="Arial" w:cs="David"/>
      <w:b/>
      <w:bCs/>
      <w:snapToGrid w:val="0"/>
      <w:spacing w:val="0"/>
      <w:sz w:val="20"/>
      <w:szCs w:val="26"/>
    </w:rPr>
  </w:style>
  <w:style w:type="paragraph" w:customStyle="1" w:styleId="HeadHatzaotHok">
    <w:name w:val="Head HatzaotHok"/>
    <w:basedOn w:val="a"/>
    <w:rsid w:val="00B975AD"/>
    <w:pPr>
      <w:keepNext/>
      <w:keepLines/>
      <w:snapToGrid w:val="0"/>
      <w:spacing w:before="240" w:line="360" w:lineRule="auto"/>
      <w:ind w:firstLine="0"/>
      <w:jc w:val="center"/>
    </w:pPr>
    <w:rPr>
      <w:rFonts w:ascii="Arial" w:eastAsia="Arial Unicode MS" w:hAnsi="Arial" w:cs="David"/>
      <w:b/>
      <w:bCs/>
      <w:snapToGrid w:val="0"/>
      <w:spacing w:val="0"/>
      <w:sz w:val="20"/>
      <w:szCs w:val="26"/>
    </w:rPr>
  </w:style>
  <w:style w:type="paragraph" w:customStyle="1" w:styleId="HeadHatzaotHok4Futer">
    <w:name w:val="Head HatzaotHok4Futer"/>
    <w:basedOn w:val="HeadHatzaotHok"/>
    <w:rsid w:val="00B975AD"/>
    <w:pPr>
      <w:spacing w:before="120" w:after="120"/>
    </w:pPr>
    <w:rPr>
      <w:color w:val="FF0000"/>
      <w:w w:val="80"/>
    </w:rPr>
  </w:style>
  <w:style w:type="paragraph" w:styleId="a3">
    <w:name w:val="endnote text"/>
    <w:basedOn w:val="a"/>
    <w:semiHidden/>
    <w:rsid w:val="00B975AD"/>
    <w:pPr>
      <w:ind w:left="227" w:hanging="227"/>
    </w:pPr>
    <w:rPr>
      <w:sz w:val="14"/>
      <w:szCs w:val="22"/>
    </w:rPr>
  </w:style>
  <w:style w:type="paragraph" w:customStyle="1" w:styleId="TableText">
    <w:name w:val="Table Text"/>
    <w:basedOn w:val="a"/>
    <w:rsid w:val="00B975AD"/>
    <w:pPr>
      <w:keepLines/>
      <w:tabs>
        <w:tab w:val="left" w:pos="624"/>
        <w:tab w:val="left" w:pos="1247"/>
      </w:tabs>
      <w:snapToGrid w:val="0"/>
      <w:spacing w:before="0" w:line="360" w:lineRule="auto"/>
      <w:ind w:right="57" w:firstLine="0"/>
      <w:jc w:val="left"/>
    </w:pPr>
    <w:rPr>
      <w:rFonts w:ascii="Arial" w:eastAsia="Arial Unicode MS" w:hAnsi="Arial" w:cs="David"/>
      <w:snapToGrid w:val="0"/>
      <w:spacing w:val="0"/>
      <w:sz w:val="20"/>
      <w:szCs w:val="26"/>
    </w:rPr>
  </w:style>
  <w:style w:type="paragraph" w:customStyle="1" w:styleId="TableSideHeading">
    <w:name w:val="Table SideHeading"/>
    <w:basedOn w:val="TableText"/>
    <w:rsid w:val="00B975AD"/>
  </w:style>
  <w:style w:type="paragraph" w:customStyle="1" w:styleId="TableBlock">
    <w:name w:val="Table Block"/>
    <w:basedOn w:val="TableText"/>
    <w:rsid w:val="00B975AD"/>
    <w:pPr>
      <w:ind w:right="0"/>
      <w:jc w:val="both"/>
    </w:pPr>
  </w:style>
  <w:style w:type="paragraph" w:customStyle="1" w:styleId="TableHead">
    <w:name w:val="Table Head"/>
    <w:basedOn w:val="TableText"/>
    <w:rsid w:val="00B975AD"/>
    <w:pPr>
      <w:ind w:right="0"/>
      <w:jc w:val="center"/>
    </w:pPr>
    <w:rPr>
      <w:b/>
      <w:bCs/>
    </w:rPr>
  </w:style>
  <w:style w:type="paragraph" w:customStyle="1" w:styleId="TableText2">
    <w:name w:val="Table Text2"/>
    <w:basedOn w:val="TableText"/>
    <w:rsid w:val="00943386"/>
  </w:style>
  <w:style w:type="paragraph" w:customStyle="1" w:styleId="TableInnerSideHeading">
    <w:name w:val="Table InnerSideHeading"/>
    <w:basedOn w:val="TableSideHeading"/>
    <w:rsid w:val="00B975AD"/>
  </w:style>
  <w:style w:type="paragraph" w:customStyle="1" w:styleId="Hesber">
    <w:name w:val="Hesber"/>
    <w:basedOn w:val="a"/>
    <w:rsid w:val="00B975AD"/>
    <w:pPr>
      <w:snapToGrid w:val="0"/>
      <w:spacing w:before="0" w:line="360" w:lineRule="auto"/>
    </w:pPr>
    <w:rPr>
      <w:rFonts w:ascii="Arial" w:eastAsia="Arial Unicode MS" w:hAnsi="Arial" w:cs="David"/>
      <w:snapToGrid w:val="0"/>
      <w:spacing w:val="0"/>
      <w:sz w:val="20"/>
      <w:szCs w:val="26"/>
    </w:rPr>
  </w:style>
  <w:style w:type="paragraph" w:styleId="a4">
    <w:name w:val="footnote text"/>
    <w:basedOn w:val="a"/>
    <w:link w:val="a5"/>
    <w:autoRedefine/>
    <w:semiHidden/>
    <w:rsid w:val="00B975AD"/>
    <w:pPr>
      <w:snapToGrid w:val="0"/>
      <w:spacing w:before="0" w:line="240" w:lineRule="auto"/>
      <w:ind w:left="227" w:hanging="227"/>
      <w:jc w:val="left"/>
    </w:pPr>
    <w:rPr>
      <w:rFonts w:ascii="Arial" w:eastAsia="Arial Unicode MS" w:hAnsi="Arial" w:cs="David"/>
      <w:snapToGrid w:val="0"/>
      <w:spacing w:val="0"/>
      <w:sz w:val="14"/>
      <w:szCs w:val="20"/>
    </w:rPr>
  </w:style>
  <w:style w:type="character" w:styleId="a6">
    <w:name w:val="footnote reference"/>
    <w:aliases w:val="Footnote Reference"/>
    <w:basedOn w:val="a0"/>
    <w:semiHidden/>
    <w:rsid w:val="00B975AD"/>
    <w:rPr>
      <w:vertAlign w:val="superscript"/>
    </w:rPr>
  </w:style>
  <w:style w:type="paragraph" w:customStyle="1" w:styleId="HesberHeading">
    <w:name w:val="Hesber Heading"/>
    <w:basedOn w:val="Hesber"/>
    <w:rsid w:val="00B975AD"/>
    <w:pPr>
      <w:tabs>
        <w:tab w:val="left" w:pos="624"/>
        <w:tab w:val="left" w:pos="1247"/>
      </w:tabs>
      <w:ind w:firstLine="0"/>
    </w:pPr>
    <w:rPr>
      <w:b/>
      <w:bCs/>
    </w:rPr>
  </w:style>
  <w:style w:type="paragraph" w:customStyle="1" w:styleId="HesberWriters">
    <w:name w:val="Hesber Writers"/>
    <w:basedOn w:val="Hesber"/>
    <w:rsid w:val="00B975AD"/>
    <w:pPr>
      <w:spacing w:before="120" w:after="6000"/>
      <w:ind w:left="1418" w:firstLine="0"/>
      <w:jc w:val="right"/>
    </w:pPr>
    <w:rPr>
      <w:b/>
      <w:bCs/>
    </w:rPr>
  </w:style>
  <w:style w:type="paragraph" w:customStyle="1" w:styleId="Hesber1st">
    <w:name w:val="Hesber 1st"/>
    <w:basedOn w:val="Hesber"/>
    <w:rsid w:val="00B975AD"/>
    <w:pPr>
      <w:tabs>
        <w:tab w:val="left" w:pos="680"/>
        <w:tab w:val="left" w:pos="1020"/>
      </w:tabs>
      <w:ind w:firstLine="0"/>
    </w:pPr>
  </w:style>
  <w:style w:type="character" w:styleId="a7">
    <w:name w:val="endnote reference"/>
    <w:basedOn w:val="a0"/>
    <w:semiHidden/>
    <w:rsid w:val="00B975AD"/>
    <w:rPr>
      <w:vertAlign w:val="superscript"/>
    </w:rPr>
  </w:style>
  <w:style w:type="paragraph" w:customStyle="1" w:styleId="TableBlockOutdent">
    <w:name w:val="Table BlockOutdent"/>
    <w:basedOn w:val="TableBlock"/>
    <w:rsid w:val="00B975AD"/>
    <w:pPr>
      <w:ind w:left="624" w:hanging="624"/>
    </w:pPr>
  </w:style>
  <w:style w:type="paragraph" w:styleId="a8">
    <w:name w:val="header"/>
    <w:basedOn w:val="a"/>
    <w:rsid w:val="00B975AD"/>
    <w:pPr>
      <w:tabs>
        <w:tab w:val="center" w:pos="4153"/>
        <w:tab w:val="right" w:pos="8306"/>
      </w:tabs>
    </w:pPr>
  </w:style>
  <w:style w:type="paragraph" w:styleId="a9">
    <w:name w:val="footer"/>
    <w:basedOn w:val="a"/>
    <w:rsid w:val="00B975AD"/>
    <w:pPr>
      <w:tabs>
        <w:tab w:val="center" w:pos="4153"/>
        <w:tab w:val="right" w:pos="8306"/>
      </w:tabs>
    </w:pPr>
  </w:style>
  <w:style w:type="paragraph" w:customStyle="1" w:styleId="HeadDivreiHesber">
    <w:name w:val="Head DivreiHesber"/>
    <w:basedOn w:val="a"/>
    <w:rsid w:val="00B975AD"/>
    <w:pPr>
      <w:snapToGrid w:val="0"/>
      <w:spacing w:before="360" w:after="120" w:line="360" w:lineRule="auto"/>
      <w:ind w:firstLine="0"/>
      <w:jc w:val="center"/>
    </w:pPr>
    <w:rPr>
      <w:rFonts w:ascii="Arial" w:eastAsia="Arial Unicode MS" w:hAnsi="Arial" w:cs="David"/>
      <w:b/>
      <w:snapToGrid w:val="0"/>
      <w:spacing w:val="40"/>
      <w:sz w:val="20"/>
      <w:szCs w:val="26"/>
    </w:rPr>
  </w:style>
  <w:style w:type="paragraph" w:customStyle="1" w:styleId="Ragil">
    <w:name w:val="Ragil"/>
    <w:basedOn w:val="a"/>
    <w:rsid w:val="00B975AD"/>
    <w:pPr>
      <w:snapToGrid w:val="0"/>
      <w:spacing w:before="0" w:line="360" w:lineRule="auto"/>
      <w:jc w:val="left"/>
    </w:pPr>
    <w:rPr>
      <w:rFonts w:ascii="Arial" w:eastAsia="Arial Unicode MS" w:hAnsi="Arial" w:cs="David"/>
      <w:snapToGrid w:val="0"/>
      <w:spacing w:val="0"/>
      <w:sz w:val="20"/>
      <w:szCs w:val="26"/>
    </w:rPr>
  </w:style>
  <w:style w:type="paragraph" w:styleId="aa">
    <w:name w:val="Title"/>
    <w:basedOn w:val="a"/>
    <w:qFormat/>
    <w:rsid w:val="00943386"/>
    <w:pPr>
      <w:jc w:val="center"/>
    </w:pPr>
    <w:rPr>
      <w:rFonts w:cs="David"/>
      <w:b/>
      <w:bCs/>
      <w:sz w:val="28"/>
      <w:szCs w:val="28"/>
      <w:u w:val="single"/>
    </w:rPr>
  </w:style>
  <w:style w:type="character" w:styleId="ab">
    <w:name w:val="page number"/>
    <w:basedOn w:val="a0"/>
    <w:rsid w:val="00B975AD"/>
  </w:style>
  <w:style w:type="paragraph" w:customStyle="1" w:styleId="David">
    <w:name w:val="רגיל + (עברית ושפות אחרות) David"/>
    <w:aliases w:val="‏13 נק',מודגש,אחרי:  6 נק'"/>
    <w:basedOn w:val="a"/>
    <w:rsid w:val="001207F8"/>
    <w:pPr>
      <w:ind w:firstLine="0"/>
      <w:jc w:val="left"/>
    </w:pPr>
    <w:rPr>
      <w:rFonts w:cs="David"/>
      <w:sz w:val="26"/>
      <w:szCs w:val="26"/>
    </w:rPr>
  </w:style>
  <w:style w:type="paragraph" w:styleId="ac">
    <w:name w:val="Balloon Text"/>
    <w:basedOn w:val="a"/>
    <w:link w:val="ad"/>
    <w:semiHidden/>
    <w:unhideWhenUsed/>
    <w:rsid w:val="00325C14"/>
    <w:pPr>
      <w:spacing w:before="0" w:line="240" w:lineRule="auto"/>
    </w:pPr>
    <w:rPr>
      <w:rFonts w:ascii="Tahoma" w:hAnsi="Tahoma" w:cs="Tahoma"/>
      <w:sz w:val="16"/>
      <w:szCs w:val="16"/>
    </w:rPr>
  </w:style>
  <w:style w:type="character" w:customStyle="1" w:styleId="ad">
    <w:name w:val="טקסט בלונים תו"/>
    <w:basedOn w:val="a0"/>
    <w:link w:val="ac"/>
    <w:semiHidden/>
    <w:rsid w:val="00325C14"/>
    <w:rPr>
      <w:rFonts w:ascii="Tahoma" w:hAnsi="Tahoma" w:cs="Tahoma"/>
      <w:color w:val="000000"/>
      <w:spacing w:val="1"/>
      <w:sz w:val="16"/>
      <w:szCs w:val="16"/>
      <w:lang w:eastAsia="ja-JP"/>
    </w:rPr>
  </w:style>
  <w:style w:type="character" w:customStyle="1" w:styleId="a5">
    <w:name w:val="טקסט הערת שוליים תו"/>
    <w:basedOn w:val="a0"/>
    <w:link w:val="a4"/>
    <w:semiHidden/>
    <w:rsid w:val="00222018"/>
    <w:rPr>
      <w:rFonts w:ascii="Arial" w:eastAsia="Arial Unicode MS" w:hAnsi="Arial" w:cs="David"/>
      <w:snapToGrid w:val="0"/>
      <w:color w:val="000000"/>
      <w:sz w:val="1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0515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86EB84DF20CE4D8D9D1A5C7A92FD24" ma:contentTypeVersion="0" ma:contentTypeDescription="Create a new document." ma:contentTypeScope="" ma:versionID="99fd2faca98684dfaf8c37f6393491f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6FC8B0-B03D-4A03-8090-6B14603D16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3CDC32B-DD97-493E-9196-3EF77D6F9C7D}">
  <ds:schemaRefs>
    <ds:schemaRef ds:uri="http://schemas.microsoft.com/sharepoint/v3/contenttype/forms"/>
  </ds:schemaRefs>
</ds:datastoreItem>
</file>

<file path=customXml/itemProps3.xml><?xml version="1.0" encoding="utf-8"?>
<ds:datastoreItem xmlns:ds="http://schemas.openxmlformats.org/officeDocument/2006/customXml" ds:itemID="{88F4AFE3-9455-419C-8851-785A55F44517}">
  <ds:schemaRefs>
    <ds:schemaRef ds:uri="http://schemas.microsoft.com/office/2006/documentManagement/types"/>
    <ds:schemaRef ds:uri="http://purl.org/dc/elements/1.1/"/>
    <ds:schemaRef ds:uri="http://www.w3.org/XML/1998/namespace"/>
    <ds:schemaRef ds:uri="http://purl.org/dc/terms/"/>
    <ds:schemaRef ds:uri="http://schemas.openxmlformats.org/package/2006/metadata/core-properties"/>
    <ds:schemaRef ds:uri="http://schemas.microsoft.com/office/infopath/2007/PartnerControl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96DDB353-3D34-478E-9961-E04B05261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423</Words>
  <Characters>2117</Characters>
  <Application>Microsoft Office Word</Application>
  <DocSecurity>4</DocSecurity>
  <Lines>17</Lines>
  <Paragraphs>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רשומות</vt:lpstr>
      <vt:lpstr>רשומות</vt:lpstr>
    </vt:vector>
  </TitlesOfParts>
  <Company>Knesset</Company>
  <LinksUpToDate>false</LinksUpToDate>
  <CharactersWithSpaces>2535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רשומות</dc:title>
  <dc:creator>מיקה צור</dc:creator>
  <cp:lastModifiedBy>עידן פז</cp:lastModifiedBy>
  <cp:revision>2</cp:revision>
  <cp:lastPrinted>2015-05-05T10:37:00Z</cp:lastPrinted>
  <dcterms:created xsi:type="dcterms:W3CDTF">2015-07-15T07:35:00Z</dcterms:created>
  <dcterms:modified xsi:type="dcterms:W3CDTF">2015-07-15T07:35:00Z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0x0101008386EB84DF20CE4D8D9D1A5C7A92FD24</vt:lpwstr>
  </property>
  <property fmtid="{D5CDD505-2E9C-101B-9397-08002B2CF9AE}" pid="3" name="_dlc_DocIdItemGuid">
    <vt:lpwstr>0354fdee-f711-4d2a-9cf2-2d1c4d9ac92a</vt:lpwstr>
  </property>
  <property fmtid="{D5CDD505-2E9C-101B-9397-08002B2CF9AE}" pid="4" name="SanhedrinDocumentType">
    <vt:r8>10</vt:r8>
  </property>
  <property fmtid="{D5CDD505-2E9C-101B-9397-08002B2CF9AE}" pid="5" name="SanhedrinItemID">
    <vt:r8>562425</vt:r8>
  </property>
</Properties>
</file>