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B669E" w14:textId="77777777" w:rsidR="00F32D1A" w:rsidRPr="0000131B" w:rsidRDefault="00F32D1A" w:rsidP="00F32D1A">
      <w:pPr>
        <w:pStyle w:val="HeadHatzaotHok"/>
        <w:jc w:val="right"/>
        <w:rPr>
          <w:b w:val="0"/>
          <w:bCs w:val="0"/>
          <w:szCs w:val="20"/>
        </w:rPr>
      </w:pPr>
      <w:bookmarkStart w:id="0" w:name="_GoBack"/>
      <w:bookmarkEnd w:id="0"/>
      <w:r w:rsidRPr="0000131B">
        <w:rPr>
          <w:rFonts w:hint="cs"/>
          <w:b w:val="0"/>
          <w:bCs w:val="0"/>
          <w:szCs w:val="20"/>
          <w:rtl/>
        </w:rPr>
        <w:t xml:space="preserve">מספר פנימי: </w:t>
      </w:r>
      <w:bookmarkStart w:id="1" w:name="LGS_Internal_ID"/>
      <w:r>
        <w:rPr>
          <w:rFonts w:hint="cs"/>
          <w:b w:val="0"/>
          <w:bCs w:val="0"/>
          <w:szCs w:val="20"/>
          <w:rtl/>
        </w:rPr>
        <w:t>562225</w:t>
      </w:r>
      <w:bookmarkEnd w:id="1"/>
    </w:p>
    <w:p w14:paraId="426C6A27" w14:textId="77777777" w:rsidR="00F32D1A" w:rsidRPr="00DB7060" w:rsidRDefault="00F32D1A" w:rsidP="00F32D1A">
      <w:pPr>
        <w:pStyle w:val="HeadHatzaotHok"/>
        <w:rPr>
          <w:sz w:val="28"/>
          <w:szCs w:val="28"/>
          <w:rtl/>
        </w:rPr>
      </w:pPr>
      <w:r w:rsidRPr="00DB7060">
        <w:rPr>
          <w:rFonts w:hint="cs"/>
          <w:sz w:val="28"/>
          <w:szCs w:val="28"/>
          <w:rtl/>
        </w:rPr>
        <w:t xml:space="preserve">הכנסת </w:t>
      </w:r>
      <w:bookmarkStart w:id="2" w:name="LGS_Knesset_Num"/>
      <w:r>
        <w:rPr>
          <w:sz w:val="28"/>
          <w:szCs w:val="28"/>
          <w:rtl/>
        </w:rPr>
        <w:t>העשרים</w:t>
      </w:r>
      <w:bookmarkEnd w:id="2"/>
    </w:p>
    <w:p w14:paraId="54314132" w14:textId="77777777" w:rsidR="00F32D1A" w:rsidRPr="00F67051" w:rsidRDefault="00F32D1A" w:rsidP="00F32D1A">
      <w:pPr>
        <w:rPr>
          <w:rFonts w:cs="David"/>
          <w:b/>
          <w:bCs/>
          <w:sz w:val="26"/>
          <w:szCs w:val="26"/>
          <w:rtl/>
        </w:rPr>
      </w:pPr>
    </w:p>
    <w:p w14:paraId="009EEBA4" w14:textId="77777777" w:rsidR="00F32D1A" w:rsidRDefault="00F32D1A" w:rsidP="00F32D1A">
      <w:pPr>
        <w:pStyle w:val="David"/>
        <w:ind w:left="3544"/>
        <w:rPr>
          <w:b/>
          <w:bCs/>
          <w:rtl/>
        </w:rPr>
      </w:pPr>
      <w:bookmarkStart w:id="3" w:name="LGS_Initiators_List"/>
      <w:r>
        <w:rPr>
          <w:b/>
          <w:bCs/>
          <w:rtl/>
        </w:rPr>
        <w:t>יוזם:</w:t>
      </w:r>
      <w:r>
        <w:tab/>
      </w:r>
      <w:r>
        <w:rPr>
          <w:b/>
          <w:bCs/>
          <w:rtl/>
        </w:rPr>
        <w:t xml:space="preserve">      חבר הכנסת</w:t>
      </w:r>
      <w:bookmarkEnd w:id="3"/>
      <w:r w:rsidRPr="00F67051">
        <w:rPr>
          <w:b/>
          <w:bCs/>
        </w:rPr>
        <w:tab/>
      </w:r>
      <w:bookmarkStart w:id="4" w:name="LGS_PM_Names"/>
      <w:r>
        <w:rPr>
          <w:rFonts w:hint="cs"/>
          <w:b/>
          <w:bCs/>
          <w:rtl/>
        </w:rPr>
        <w:t>עמר בר-לב</w:t>
      </w:r>
      <w:bookmarkEnd w:id="4"/>
    </w:p>
    <w:p w14:paraId="6BC2A933" w14:textId="77777777" w:rsidR="00F32D1A" w:rsidRPr="00CF1AA2" w:rsidRDefault="00F32D1A" w:rsidP="00F32D1A">
      <w:pPr>
        <w:pStyle w:val="David"/>
        <w:ind w:left="3544"/>
        <w:rPr>
          <w:b/>
          <w:bCs/>
          <w:rtl/>
        </w:rPr>
      </w:pPr>
      <w:bookmarkStart w:id="5" w:name="LGS_Join_List"/>
      <w:r>
        <w:rPr>
          <w:rtl/>
        </w:rPr>
        <w:t xml:space="preserve"> </w:t>
      </w:r>
      <w:bookmarkEnd w:id="5"/>
      <w:r w:rsidRPr="00CF1AA2">
        <w:rPr>
          <w:rFonts w:hint="cs"/>
          <w:rtl/>
        </w:rPr>
        <w:tab/>
      </w:r>
      <w:bookmarkStart w:id="6" w:name="LGS_PM_NamesJoin"/>
      <w:r>
        <w:rPr>
          <w:rFonts w:hint="cs"/>
          <w:rtl/>
        </w:rPr>
        <w:t xml:space="preserve"> </w:t>
      </w:r>
      <w:bookmarkEnd w:id="6"/>
    </w:p>
    <w:p w14:paraId="25E1F354" w14:textId="77777777" w:rsidR="00F32D1A" w:rsidRPr="00E06736" w:rsidRDefault="00F32D1A" w:rsidP="00F32D1A">
      <w:pPr>
        <w:pStyle w:val="David"/>
        <w:ind w:left="3544"/>
        <w:rPr>
          <w:rtl/>
        </w:rPr>
      </w:pPr>
      <w:r w:rsidRPr="00CF1AA2">
        <w:rPr>
          <w:b/>
          <w:bCs/>
          <w:noProof/>
          <w:rtl/>
          <w:lang w:eastAsia="en-US"/>
        </w:rPr>
        <mc:AlternateContent>
          <mc:Choice Requires="wps">
            <w:drawing>
              <wp:anchor distT="0" distB="0" distL="114300" distR="114300" simplePos="0" relativeHeight="251659264" behindDoc="0" locked="0" layoutInCell="1" allowOverlap="1" wp14:anchorId="360CEF69" wp14:editId="29494D69">
                <wp:simplePos x="0" y="0"/>
                <wp:positionH relativeFrom="column">
                  <wp:posOffset>1270</wp:posOffset>
                </wp:positionH>
                <wp:positionV relativeFrom="paragraph">
                  <wp:posOffset>47625</wp:posOffset>
                </wp:positionV>
                <wp:extent cx="3879215" cy="17145"/>
                <wp:effectExtent l="0" t="0" r="0" b="0"/>
                <wp:wrapNone/>
                <wp:docPr id="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215" cy="17145"/>
                        </a:xfrm>
                        <a:custGeom>
                          <a:avLst/>
                          <a:gdLst>
                            <a:gd name="T0" fmla="*/ 0 w 6109"/>
                            <a:gd name="T1" fmla="*/ 27 h 27"/>
                            <a:gd name="T2" fmla="*/ 6109 w 6109"/>
                            <a:gd name="T3" fmla="*/ 0 h 27"/>
                          </a:gdLst>
                          <a:ahLst/>
                          <a:cxnLst>
                            <a:cxn ang="0">
                              <a:pos x="T0" y="T1"/>
                            </a:cxn>
                            <a:cxn ang="0">
                              <a:pos x="T2" y="T3"/>
                            </a:cxn>
                          </a:cxnLst>
                          <a:rect l="0" t="0" r="r" b="b"/>
                          <a:pathLst>
                            <a:path w="6109" h="27">
                              <a:moveTo>
                                <a:pt x="0" y="27"/>
                              </a:moveTo>
                              <a:lnTo>
                                <a:pt x="610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polyline id="Freeform 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09,27" o:spid="_x0000_s1026" filled="f" points=".1pt,5.1pt,305.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">
                <v:path arrowok="t" o:connecttype="custom" o:connectlocs="0,17145;3879215,0" o:connectangles="0,0"/>
              </v:polyline>
            </w:pict>
          </mc:Fallback>
        </mc:AlternateContent>
      </w:r>
      <w:r w:rsidRPr="00E06736">
        <w:rPr>
          <w:rFonts w:hint="cs"/>
          <w:rtl/>
        </w:rPr>
        <w:tab/>
      </w:r>
      <w:r>
        <w:tab/>
      </w:r>
      <w:r>
        <w:tab/>
      </w:r>
      <w:r w:rsidRPr="00E06736">
        <w:rPr>
          <w:rFonts w:hint="cs"/>
          <w:rtl/>
        </w:rPr>
        <w:tab/>
      </w:r>
      <w:r w:rsidRPr="00E06736">
        <w:tab/>
      </w:r>
      <w:bookmarkStart w:id="7" w:name="Private_Number"/>
      <w:r>
        <w:rPr>
          <w:rFonts w:hint="cs"/>
          <w:rtl/>
        </w:rPr>
        <w:t>פ/8/20</w:t>
      </w:r>
      <w:bookmarkEnd w:id="7"/>
      <w:r w:rsidRPr="00E06736">
        <w:rPr>
          <w:rFonts w:hint="cs"/>
          <w:rtl/>
        </w:rPr>
        <w:tab/>
      </w:r>
      <w:r w:rsidRPr="00E06736">
        <w:rPr>
          <w:rFonts w:hint="cs"/>
          <w:rtl/>
        </w:rPr>
        <w:tab/>
      </w:r>
      <w:r w:rsidRPr="00E06736">
        <w:rPr>
          <w:rFonts w:hint="cs"/>
          <w:rtl/>
        </w:rPr>
        <w:tab/>
      </w:r>
    </w:p>
    <w:p w14:paraId="2D55A99E" w14:textId="77777777" w:rsidR="006167AA" w:rsidRDefault="006167AA" w:rsidP="006167AA">
      <w:pPr>
        <w:pStyle w:val="HeadHatzaotHok"/>
        <w:spacing w:line="240" w:lineRule="auto"/>
        <w:rPr>
          <w:rtl/>
        </w:rPr>
      </w:pPr>
      <w:bookmarkStart w:id="8" w:name="LGS_Subject"/>
    </w:p>
    <w:p w14:paraId="6840AED0" w14:textId="7AB8D434" w:rsidR="00F32D1A" w:rsidRDefault="00F32D1A" w:rsidP="006167AA">
      <w:pPr>
        <w:pStyle w:val="HeadHatzaotHok"/>
        <w:spacing w:line="240" w:lineRule="auto"/>
        <w:rPr>
          <w:rtl/>
        </w:rPr>
      </w:pPr>
      <w:r>
        <w:rPr>
          <w:rFonts w:hint="cs"/>
          <w:rtl/>
        </w:rPr>
        <w:t xml:space="preserve">הצעת חוק העונשין (תיקון – פניה למוקד חירום והצלה בקריאת שווא לעזרה), </w:t>
      </w:r>
      <w:proofErr w:type="spellStart"/>
      <w:r>
        <w:rPr>
          <w:rFonts w:hint="cs"/>
          <w:rtl/>
        </w:rPr>
        <w:t>התשע"ה</w:t>
      </w:r>
      <w:proofErr w:type="spellEnd"/>
      <w:r>
        <w:rPr>
          <w:rFonts w:hint="cs"/>
          <w:rtl/>
        </w:rPr>
        <w:t>–2015</w:t>
      </w:r>
      <w:bookmarkEnd w:id="8"/>
    </w:p>
    <w:p w14:paraId="147F3E7A" w14:textId="47CBD14A" w:rsidR="00F32D1A" w:rsidRDefault="00F32D1A" w:rsidP="006167AA">
      <w:pPr>
        <w:pStyle w:val="HeadHatzaotHok"/>
        <w:spacing w:line="240" w:lineRule="auto"/>
        <w:rPr>
          <w:rtl/>
        </w:rPr>
      </w:pPr>
    </w:p>
    <w:tbl>
      <w:tblPr>
        <w:bidiVisual/>
        <w:tblW w:w="9637" w:type="dxa"/>
        <w:tblLayout w:type="fixed"/>
        <w:tblCellMar>
          <w:top w:w="57" w:type="dxa"/>
          <w:left w:w="0" w:type="dxa"/>
          <w:bottom w:w="57" w:type="dxa"/>
          <w:right w:w="0" w:type="dxa"/>
        </w:tblCellMar>
        <w:tblLook w:val="01E0" w:firstRow="1" w:lastRow="1" w:firstColumn="1" w:lastColumn="1" w:noHBand="0" w:noVBand="0"/>
      </w:tblPr>
      <w:tblGrid>
        <w:gridCol w:w="1870"/>
        <w:gridCol w:w="624"/>
        <w:gridCol w:w="1871"/>
        <w:gridCol w:w="624"/>
        <w:gridCol w:w="4648"/>
      </w:tblGrid>
      <w:tr w:rsidR="00F32D1A" w:rsidRPr="00C34DE2" w14:paraId="653CBCEA" w14:textId="77777777" w:rsidTr="003D7901">
        <w:trPr>
          <w:cantSplit/>
        </w:trPr>
        <w:tc>
          <w:tcPr>
            <w:tcW w:w="1870" w:type="dxa"/>
          </w:tcPr>
          <w:p w14:paraId="708C8AC9" w14:textId="77777777" w:rsidR="00F32D1A" w:rsidRPr="00B57499" w:rsidRDefault="00F32D1A" w:rsidP="00287137">
            <w:pPr>
              <w:pStyle w:val="TableSideHeading"/>
              <w:ind w:right="0"/>
            </w:pPr>
            <w:r w:rsidRPr="00B57499">
              <w:rPr>
                <w:rtl/>
              </w:rPr>
              <w:t>הוספת סעיף 159ב</w:t>
            </w:r>
          </w:p>
        </w:tc>
        <w:tc>
          <w:tcPr>
            <w:tcW w:w="624" w:type="dxa"/>
          </w:tcPr>
          <w:p w14:paraId="5AB53143" w14:textId="77777777" w:rsidR="00F32D1A" w:rsidRPr="00B57499" w:rsidRDefault="00F32D1A" w:rsidP="00287137">
            <w:pPr>
              <w:pStyle w:val="TableText"/>
              <w:ind w:right="0"/>
              <w:jc w:val="both"/>
            </w:pPr>
            <w:r w:rsidRPr="00B57499">
              <w:rPr>
                <w:rtl/>
              </w:rPr>
              <w:t>1.</w:t>
            </w:r>
          </w:p>
        </w:tc>
        <w:tc>
          <w:tcPr>
            <w:tcW w:w="7143" w:type="dxa"/>
            <w:gridSpan w:val="3"/>
          </w:tcPr>
          <w:p w14:paraId="742FB4EC" w14:textId="77777777" w:rsidR="00F32D1A" w:rsidRPr="00B57499" w:rsidRDefault="00F32D1A" w:rsidP="003D7901">
            <w:pPr>
              <w:pStyle w:val="TableBlock"/>
            </w:pPr>
            <w:r w:rsidRPr="00B57499">
              <w:rPr>
                <w:rtl/>
              </w:rPr>
              <w:t xml:space="preserve">בחוק העונשין, </w:t>
            </w:r>
            <w:proofErr w:type="spellStart"/>
            <w:r w:rsidRPr="00B57499">
              <w:rPr>
                <w:rtl/>
              </w:rPr>
              <w:t>התשל"ז</w:t>
            </w:r>
            <w:proofErr w:type="spellEnd"/>
            <w:r w:rsidRPr="00B57499">
              <w:rPr>
                <w:rtl/>
              </w:rPr>
              <w:t>–1977</w:t>
            </w:r>
            <w:r w:rsidRPr="00172B3C">
              <w:rPr>
                <w:vertAlign w:val="superscript"/>
                <w:rtl/>
              </w:rPr>
              <w:footnoteReference w:id="2"/>
            </w:r>
            <w:r w:rsidRPr="00B57499">
              <w:rPr>
                <w:rtl/>
              </w:rPr>
              <w:t>, אחרי סעיף 159א יבוא</w:t>
            </w:r>
            <w:r>
              <w:rPr>
                <w:rtl/>
              </w:rPr>
              <w:t>:</w:t>
            </w:r>
          </w:p>
        </w:tc>
      </w:tr>
      <w:tr w:rsidR="00F32D1A" w14:paraId="3796AE56" w14:textId="77777777" w:rsidTr="003D7901">
        <w:trPr>
          <w:cantSplit/>
        </w:trPr>
        <w:tc>
          <w:tcPr>
            <w:tcW w:w="1870" w:type="dxa"/>
          </w:tcPr>
          <w:p w14:paraId="66284E86" w14:textId="77777777" w:rsidR="00F32D1A" w:rsidRDefault="00F32D1A" w:rsidP="00287137">
            <w:pPr>
              <w:pStyle w:val="TableSideHeading"/>
              <w:keepLines w:val="0"/>
            </w:pPr>
          </w:p>
        </w:tc>
        <w:tc>
          <w:tcPr>
            <w:tcW w:w="624" w:type="dxa"/>
          </w:tcPr>
          <w:p w14:paraId="33594BA3" w14:textId="77777777" w:rsidR="00F32D1A" w:rsidRDefault="00F32D1A" w:rsidP="00287137">
            <w:pPr>
              <w:pStyle w:val="TableText"/>
              <w:keepLines w:val="0"/>
            </w:pPr>
          </w:p>
        </w:tc>
        <w:tc>
          <w:tcPr>
            <w:tcW w:w="1871" w:type="dxa"/>
          </w:tcPr>
          <w:p w14:paraId="03B787B5" w14:textId="77777777" w:rsidR="00F32D1A" w:rsidRPr="008D461E" w:rsidRDefault="00F32D1A" w:rsidP="00287137">
            <w:pPr>
              <w:pStyle w:val="TableInnerSideHeading"/>
            </w:pPr>
            <w:r>
              <w:rPr>
                <w:rtl/>
              </w:rPr>
              <w:t>"פניה למוקד חירום והצלה בקריאת שווא לעזרה</w:t>
            </w:r>
          </w:p>
        </w:tc>
        <w:tc>
          <w:tcPr>
            <w:tcW w:w="624" w:type="dxa"/>
          </w:tcPr>
          <w:p w14:paraId="32DDD5EA" w14:textId="77777777" w:rsidR="00F32D1A" w:rsidRDefault="00F32D1A" w:rsidP="00287137">
            <w:pPr>
              <w:pStyle w:val="TableText"/>
            </w:pPr>
            <w:r>
              <w:rPr>
                <w:rtl/>
              </w:rPr>
              <w:t>159ב.</w:t>
            </w:r>
          </w:p>
        </w:tc>
        <w:tc>
          <w:tcPr>
            <w:tcW w:w="4648" w:type="dxa"/>
          </w:tcPr>
          <w:p w14:paraId="03643D77" w14:textId="77777777" w:rsidR="00F32D1A" w:rsidRDefault="00F32D1A" w:rsidP="003D7901">
            <w:pPr>
              <w:pStyle w:val="TableBlock"/>
            </w:pPr>
            <w:r>
              <w:rPr>
                <w:rtl/>
              </w:rPr>
              <w:t>הפונה למוקד חירום והצלה בקריאת שווא לעזרה, דינו – הקנס האמור בסעיף 61(א)(1); עשה זאת במטרה לשבש את עבודת כוחות החירום וההצלה, דינו – הקנס האמור בסעיף 61(א)(3); לעניין סעיף זה, "מוקד חירום והצלה" – לרבות מוקדי החירום של המשטרה, מגן דוד אדום, שירותי כבאות והצלה."</w:t>
            </w:r>
          </w:p>
        </w:tc>
      </w:tr>
    </w:tbl>
    <w:p w14:paraId="2AAAE43F" w14:textId="77777777" w:rsidR="00F32D1A" w:rsidRDefault="00F32D1A" w:rsidP="00F32D1A">
      <w:pPr>
        <w:keepLines/>
        <w:tabs>
          <w:tab w:val="left" w:pos="624"/>
          <w:tab w:val="left" w:pos="1247"/>
        </w:tabs>
        <w:spacing w:before="0" w:line="360" w:lineRule="auto"/>
        <w:ind w:firstLine="0"/>
        <w:rPr>
          <w:rtl/>
        </w:rPr>
      </w:pPr>
    </w:p>
    <w:p w14:paraId="790317E7" w14:textId="77777777" w:rsidR="00F32D1A" w:rsidRPr="002F3C77" w:rsidRDefault="00F32D1A" w:rsidP="00F32D1A">
      <w:pPr>
        <w:pStyle w:val="HeadDivreiHesber"/>
        <w:rPr>
          <w:rtl/>
        </w:rPr>
      </w:pPr>
      <w:r w:rsidRPr="00B5004C">
        <w:rPr>
          <w:rtl/>
        </w:rPr>
        <w:t xml:space="preserve">דברי </w:t>
      </w:r>
      <w:r w:rsidRPr="00231E14">
        <w:rPr>
          <w:rtl/>
        </w:rPr>
        <w:t>הסבר</w:t>
      </w:r>
    </w:p>
    <w:p w14:paraId="06B90304" w14:textId="77777777" w:rsidR="00F32D1A" w:rsidRPr="00221D12" w:rsidRDefault="00F32D1A" w:rsidP="00F32D1A">
      <w:pPr>
        <w:pStyle w:val="Hesber"/>
      </w:pPr>
      <w:r w:rsidRPr="00221D12">
        <w:rPr>
          <w:rtl/>
        </w:rPr>
        <w:t>מוקדי החירום וההצלה נאלצים להתמודד עם עומס רב</w:t>
      </w:r>
      <w:r w:rsidRPr="00221D12">
        <w:t xml:space="preserve"> </w:t>
      </w:r>
      <w:r w:rsidRPr="00221D12">
        <w:rPr>
          <w:rtl/>
        </w:rPr>
        <w:t>של פניות, ומספר לא מבוטל מהן מוגדרות כהטרדות וקריאות שווא לעזרה. על פי פרסומים מהתקופה האחרונה כ-45% מהפניות המתקבלות במוקד החירום של המשטרה מוגדרות כהטרדות ו</w:t>
      </w:r>
      <w:r w:rsidRPr="00221D12">
        <w:rPr>
          <w:rFonts w:hint="cs"/>
          <w:rtl/>
        </w:rPr>
        <w:t>כ</w:t>
      </w:r>
      <w:r w:rsidRPr="00221D12">
        <w:rPr>
          <w:rtl/>
        </w:rPr>
        <w:t xml:space="preserve">קריאות שווא לעזרה. מצב עניינים זה מקשה על תפקוד המוקדנים ומביא לבזבוז זמן יקר. </w:t>
      </w:r>
    </w:p>
    <w:p w14:paraId="02B55AF1" w14:textId="14CDB084" w:rsidR="00F32D1A" w:rsidRPr="00221D12" w:rsidRDefault="00F32D1A" w:rsidP="00F32D1A">
      <w:pPr>
        <w:pStyle w:val="Hesber"/>
        <w:rPr>
          <w:rtl/>
        </w:rPr>
      </w:pPr>
      <w:r w:rsidRPr="00221D12">
        <w:rPr>
          <w:rtl/>
        </w:rPr>
        <w:t xml:space="preserve">ריבוי של פניות שווא עלול להוביל לשיבוש עבודתם של כוחות החירום וההצלה במתן מענה לפניות </w:t>
      </w:r>
      <w:proofErr w:type="spellStart"/>
      <w:r w:rsidRPr="00221D12">
        <w:rPr>
          <w:rtl/>
        </w:rPr>
        <w:t>אמיתיות</w:t>
      </w:r>
      <w:proofErr w:type="spellEnd"/>
      <w:r w:rsidRPr="00221D12">
        <w:rPr>
          <w:rtl/>
        </w:rPr>
        <w:t xml:space="preserve"> הדורשות את התערבותם או לחילופין להביא לבזבוז משאבים וכספי ציבור בהקפצת הכוחות לשווא. כך למשל, האירוע שבו </w:t>
      </w:r>
      <w:proofErr w:type="spellStart"/>
      <w:r w:rsidRPr="00221D12">
        <w:rPr>
          <w:rtl/>
        </w:rPr>
        <w:t>מוקדני</w:t>
      </w:r>
      <w:proofErr w:type="spellEnd"/>
      <w:r w:rsidRPr="00221D12">
        <w:rPr>
          <w:rtl/>
        </w:rPr>
        <w:t xml:space="preserve"> המשטרה פירשו את פנייתו של החטוף גיל-עד </w:t>
      </w:r>
      <w:proofErr w:type="spellStart"/>
      <w:r w:rsidRPr="00221D12">
        <w:rPr>
          <w:rtl/>
        </w:rPr>
        <w:t>שאער</w:t>
      </w:r>
      <w:proofErr w:type="spellEnd"/>
      <w:r w:rsidRPr="00221D12">
        <w:rPr>
          <w:rtl/>
        </w:rPr>
        <w:t xml:space="preserve"> ז"ל כפניית שווא הוא דוגמה מצערת להשפעתן השלילית של פניות השווא המתקבלות במוקד המשטרתי. סיווגה של הפנייה כפניית שווא ותו לא גרמה לכך שלא ניתן מענה מידי לקריאת המצוקה והביאה לעיכוב משמעותי שמנע תגובה בשעות הקריטיות לאירוע. הדבר כמובן עלול לקרות גם במוקדי חירום אחרים כמו מגן דוד אדום או מוקד שירותי כבאות והצלה. </w:t>
      </w:r>
    </w:p>
    <w:p w14:paraId="026E82A8" w14:textId="31F972A0" w:rsidR="00F32D1A" w:rsidRPr="00221D12" w:rsidRDefault="00F32D1A" w:rsidP="00F32D1A">
      <w:pPr>
        <w:pStyle w:val="Hesber"/>
        <w:rPr>
          <w:rtl/>
        </w:rPr>
      </w:pPr>
      <w:r w:rsidRPr="00221D12">
        <w:rPr>
          <w:rtl/>
        </w:rPr>
        <w:t xml:space="preserve">לפיכך מוצע להטיל קנס על הפונה למוקד חירום והצלה בקריאת שווא לעזרה כדי להרתיע ולצמצם את ממדי התופעה. במקרה שהפנייה נעשתה במטרה לשבש את עבודת כוחות החירום וההצלה, יוטל קנס </w:t>
      </w:r>
      <w:r w:rsidRPr="00221D12">
        <w:rPr>
          <w:rtl/>
        </w:rPr>
        <w:lastRenderedPageBreak/>
        <w:t xml:space="preserve">כבד יותר. יש להדגיש כי התיקון </w:t>
      </w:r>
      <w:r w:rsidRPr="00221D12">
        <w:rPr>
          <w:rFonts w:hint="cs"/>
          <w:rtl/>
        </w:rPr>
        <w:t>אינו</w:t>
      </w:r>
      <w:r w:rsidRPr="00221D12">
        <w:rPr>
          <w:rtl/>
        </w:rPr>
        <w:t xml:space="preserve"> מתייחס למקרה שבו הפונה מסר בתום לב מידע שהסתבר בהמשך כשגוי, אלא רק למקרים שבהם הפונה ידע בעת פנייתו כי המידע שהוא מוסר שגוי. </w:t>
      </w:r>
    </w:p>
    <w:p w14:paraId="649715DD" w14:textId="77777777" w:rsidR="00F32D1A" w:rsidRPr="00221D12" w:rsidRDefault="00F32D1A" w:rsidP="00F32D1A">
      <w:pPr>
        <w:pStyle w:val="Hesber"/>
        <w:rPr>
          <w:rtl/>
        </w:rPr>
      </w:pPr>
      <w:r w:rsidRPr="00221D12">
        <w:rPr>
          <w:rFonts w:hint="cs"/>
          <w:rtl/>
        </w:rPr>
        <w:t>הצעת חוק דומה בעיקרה הונחה על שולחן הכנסת התשע-עשרה על ידי חבר הכנסת אמנון כהן וקבוצת חברי הכנסת (פ/2639/19).</w:t>
      </w:r>
    </w:p>
    <w:p w14:paraId="132E9DEB" w14:textId="1CA05133" w:rsidR="00F32D1A" w:rsidRPr="00221D12" w:rsidRDefault="00F32D1A" w:rsidP="00F32D1A">
      <w:pPr>
        <w:pStyle w:val="Hesber"/>
        <w:rPr>
          <w:rtl/>
        </w:rPr>
      </w:pPr>
      <w:r w:rsidRPr="00221D12">
        <w:rPr>
          <w:rtl/>
        </w:rPr>
        <w:t xml:space="preserve">הצעות חוק זהות הונחו על שולחן הכנסת התשע-עשרה על ידי חבר הכנסת </w:t>
      </w:r>
      <w:r w:rsidRPr="00221D12">
        <w:rPr>
          <w:rFonts w:hint="cs"/>
          <w:rtl/>
        </w:rPr>
        <w:t>עמר בר-לב וקבוצת חברי הכנסת (</w:t>
      </w:r>
      <w:bookmarkStart w:id="9" w:name="LawNum"/>
      <w:r w:rsidRPr="00221D12">
        <w:rPr>
          <w:rFonts w:hint="cs"/>
          <w:rtl/>
        </w:rPr>
        <w:t>פ</w:t>
      </w:r>
      <w:r w:rsidRPr="00221D12">
        <w:rPr>
          <w:rtl/>
        </w:rPr>
        <w:t>/2638/19</w:t>
      </w:r>
      <w:bookmarkEnd w:id="9"/>
      <w:r w:rsidRPr="00221D12">
        <w:rPr>
          <w:rFonts w:hint="cs"/>
          <w:rtl/>
        </w:rPr>
        <w:t xml:space="preserve">), על ידי חבר הכנסת </w:t>
      </w:r>
      <w:r w:rsidRPr="00221D12">
        <w:rPr>
          <w:rtl/>
        </w:rPr>
        <w:t>ניסן סלומינסקי (פ/2613/19)</w:t>
      </w:r>
      <w:r w:rsidRPr="00221D12">
        <w:rPr>
          <w:rFonts w:hint="cs"/>
          <w:rtl/>
        </w:rPr>
        <w:t xml:space="preserve">, </w:t>
      </w:r>
      <w:r w:rsidRPr="00221D12">
        <w:rPr>
          <w:rtl/>
        </w:rPr>
        <w:t>על ידי חברת הכנסת מרב מיכאלי וקבוצת חברי הכנסת (פ/2614/19)</w:t>
      </w:r>
      <w:r w:rsidRPr="00221D12">
        <w:rPr>
          <w:rFonts w:hint="cs"/>
          <w:rtl/>
        </w:rPr>
        <w:t xml:space="preserve"> ועל ידי חברת הכנסת פנינה תמנו-שטה (פ/</w:t>
      </w:r>
      <w:r>
        <w:rPr>
          <w:rFonts w:hint="cs"/>
          <w:rtl/>
        </w:rPr>
        <w:t>2707</w:t>
      </w:r>
      <w:r w:rsidRPr="00221D12">
        <w:rPr>
          <w:rFonts w:hint="cs"/>
          <w:rtl/>
        </w:rPr>
        <w:t>/</w:t>
      </w:r>
      <w:r>
        <w:rPr>
          <w:rFonts w:hint="cs"/>
          <w:rtl/>
        </w:rPr>
        <w:t>19</w:t>
      </w:r>
      <w:r w:rsidRPr="00221D12">
        <w:rPr>
          <w:rFonts w:hint="cs"/>
          <w:rtl/>
        </w:rPr>
        <w:t>).</w:t>
      </w:r>
    </w:p>
    <w:p w14:paraId="7E6CFC03" w14:textId="77777777" w:rsidR="00F32D1A" w:rsidRDefault="00F32D1A" w:rsidP="00F32D1A">
      <w:pPr>
        <w:pStyle w:val="Hesber"/>
        <w:rPr>
          <w:rtl/>
        </w:rPr>
      </w:pPr>
    </w:p>
    <w:p w14:paraId="44E8EF4A" w14:textId="7CC346C3" w:rsidR="003A0D44" w:rsidRDefault="003A0D44" w:rsidP="00F32D1A">
      <w:pPr>
        <w:pStyle w:val="Hesber"/>
        <w:rPr>
          <w:rtl/>
        </w:rPr>
      </w:pPr>
    </w:p>
    <w:p w14:paraId="034803B7" w14:textId="77777777" w:rsidR="003A0D44" w:rsidRDefault="003A0D44" w:rsidP="00F32D1A">
      <w:pPr>
        <w:pStyle w:val="Hesber"/>
        <w:rPr>
          <w:rtl/>
        </w:rPr>
      </w:pPr>
    </w:p>
    <w:p w14:paraId="0CF33F03" w14:textId="77777777" w:rsidR="003A0D44" w:rsidRPr="00993AEB" w:rsidRDefault="003A0D44" w:rsidP="00F32D1A">
      <w:pPr>
        <w:pStyle w:val="Hesber"/>
        <w:rPr>
          <w:rtl/>
        </w:rPr>
      </w:pPr>
    </w:p>
    <w:p w14:paraId="3DEE1CEA" w14:textId="77777777" w:rsidR="003A0D44" w:rsidRPr="0022704F" w:rsidRDefault="003A0D44" w:rsidP="003A0D44">
      <w:pPr>
        <w:ind w:left="340" w:firstLine="0"/>
        <w:rPr>
          <w:rFonts w:ascii="Arial" w:eastAsia="Arial Unicode MS" w:hAnsi="Arial" w:cs="David"/>
          <w:snapToGrid w:val="0"/>
          <w:spacing w:val="0"/>
          <w:sz w:val="20"/>
          <w:szCs w:val="26"/>
          <w:rtl/>
        </w:rPr>
      </w:pPr>
      <w:r w:rsidRPr="0022704F">
        <w:rPr>
          <w:rFonts w:ascii="Arial" w:eastAsia="Arial Unicode MS" w:hAnsi="Arial" w:cs="David"/>
          <w:snapToGrid w:val="0"/>
          <w:spacing w:val="0"/>
          <w:sz w:val="20"/>
          <w:szCs w:val="26"/>
          <w:rtl/>
        </w:rPr>
        <w:t>---------------------------------</w:t>
      </w:r>
    </w:p>
    <w:p w14:paraId="72D8217C" w14:textId="77777777" w:rsidR="003A0D44" w:rsidRPr="0022704F" w:rsidRDefault="003A0D44" w:rsidP="003A0D44">
      <w:pPr>
        <w:ind w:left="340" w:firstLine="0"/>
        <w:rPr>
          <w:rFonts w:ascii="Arial" w:eastAsia="Arial Unicode MS" w:hAnsi="Arial" w:cs="David"/>
          <w:snapToGrid w:val="0"/>
          <w:spacing w:val="0"/>
          <w:sz w:val="20"/>
          <w:szCs w:val="26"/>
          <w:rtl/>
        </w:rPr>
      </w:pPr>
      <w:r w:rsidRPr="0022704F">
        <w:rPr>
          <w:rFonts w:ascii="Arial" w:eastAsia="Arial Unicode MS" w:hAnsi="Arial" w:cs="David"/>
          <w:snapToGrid w:val="0"/>
          <w:spacing w:val="0"/>
          <w:sz w:val="20"/>
          <w:szCs w:val="26"/>
          <w:rtl/>
        </w:rPr>
        <w:t>הוגשה ליו"ר הכנסת והסגנים</w:t>
      </w:r>
    </w:p>
    <w:p w14:paraId="68898223" w14:textId="77777777" w:rsidR="003A0D44" w:rsidRPr="0022704F" w:rsidRDefault="003A0D44" w:rsidP="003A0D44">
      <w:pPr>
        <w:ind w:left="340" w:firstLine="0"/>
        <w:rPr>
          <w:rFonts w:ascii="Arial" w:eastAsia="Arial Unicode MS" w:hAnsi="Arial" w:cs="David"/>
          <w:snapToGrid w:val="0"/>
          <w:spacing w:val="0"/>
          <w:sz w:val="20"/>
          <w:szCs w:val="26"/>
          <w:rtl/>
        </w:rPr>
      </w:pPr>
      <w:r w:rsidRPr="0022704F">
        <w:rPr>
          <w:rFonts w:ascii="Arial" w:eastAsia="Arial Unicode MS" w:hAnsi="Arial" w:cs="David"/>
          <w:snapToGrid w:val="0"/>
          <w:spacing w:val="0"/>
          <w:sz w:val="20"/>
          <w:szCs w:val="26"/>
          <w:rtl/>
        </w:rPr>
        <w:t>והונחה על שולחן הכנסת ביום</w:t>
      </w:r>
    </w:p>
    <w:p w14:paraId="7E526EB9" w14:textId="77777777" w:rsidR="003A0D44" w:rsidRPr="00935520" w:rsidRDefault="003A0D44" w:rsidP="003A0D44">
      <w:pPr>
        <w:ind w:left="340" w:firstLine="0"/>
        <w:rPr>
          <w:rFonts w:ascii="Arial" w:eastAsia="Arial Unicode MS" w:hAnsi="Arial" w:cs="David"/>
          <w:snapToGrid w:val="0"/>
          <w:spacing w:val="0"/>
          <w:sz w:val="20"/>
          <w:szCs w:val="26"/>
        </w:rPr>
      </w:pPr>
      <w:r>
        <w:rPr>
          <w:rFonts w:ascii="Arial" w:eastAsia="Arial Unicode MS" w:hAnsi="Arial" w:cs="David" w:hint="cs"/>
          <w:snapToGrid w:val="0"/>
          <w:spacing w:val="0"/>
          <w:sz w:val="20"/>
          <w:szCs w:val="26"/>
          <w:rtl/>
        </w:rPr>
        <w:t xml:space="preserve">ט"ו באייר </w:t>
      </w:r>
      <w:proofErr w:type="spellStart"/>
      <w:r>
        <w:rPr>
          <w:rFonts w:ascii="Arial" w:eastAsia="Arial Unicode MS" w:hAnsi="Arial" w:cs="David" w:hint="cs"/>
          <w:snapToGrid w:val="0"/>
          <w:spacing w:val="0"/>
          <w:sz w:val="20"/>
          <w:szCs w:val="26"/>
          <w:rtl/>
        </w:rPr>
        <w:t>התשע"ה</w:t>
      </w:r>
      <w:proofErr w:type="spellEnd"/>
      <w:r w:rsidRPr="00935520">
        <w:rPr>
          <w:rFonts w:ascii="Arial" w:eastAsia="Arial Unicode MS" w:hAnsi="Arial" w:cs="David" w:hint="cs"/>
          <w:snapToGrid w:val="0"/>
          <w:spacing w:val="0"/>
          <w:sz w:val="20"/>
          <w:szCs w:val="26"/>
          <w:rtl/>
        </w:rPr>
        <w:t xml:space="preserve"> – </w:t>
      </w:r>
      <w:r>
        <w:rPr>
          <w:rFonts w:ascii="Arial" w:eastAsia="Arial Unicode MS" w:hAnsi="Arial" w:cs="David" w:hint="cs"/>
          <w:snapToGrid w:val="0"/>
          <w:spacing w:val="0"/>
          <w:sz w:val="20"/>
          <w:szCs w:val="26"/>
          <w:rtl/>
        </w:rPr>
        <w:t>4</w:t>
      </w:r>
      <w:r w:rsidRPr="00935520">
        <w:rPr>
          <w:rFonts w:ascii="Arial" w:eastAsia="Arial Unicode MS" w:hAnsi="Arial" w:cs="David" w:hint="cs"/>
          <w:snapToGrid w:val="0"/>
          <w:spacing w:val="0"/>
          <w:sz w:val="20"/>
          <w:szCs w:val="26"/>
          <w:rtl/>
        </w:rPr>
        <w:t>.</w:t>
      </w:r>
      <w:r>
        <w:rPr>
          <w:rFonts w:ascii="Arial" w:eastAsia="Arial Unicode MS" w:hAnsi="Arial" w:cs="David" w:hint="cs"/>
          <w:snapToGrid w:val="0"/>
          <w:spacing w:val="0"/>
          <w:sz w:val="20"/>
          <w:szCs w:val="26"/>
          <w:rtl/>
        </w:rPr>
        <w:t>5</w:t>
      </w:r>
      <w:r w:rsidRPr="00935520">
        <w:rPr>
          <w:rFonts w:ascii="Arial" w:eastAsia="Arial Unicode MS" w:hAnsi="Arial" w:cs="David" w:hint="cs"/>
          <w:snapToGrid w:val="0"/>
          <w:spacing w:val="0"/>
          <w:sz w:val="20"/>
          <w:szCs w:val="26"/>
          <w:rtl/>
        </w:rPr>
        <w:t>.</w:t>
      </w:r>
      <w:r>
        <w:rPr>
          <w:rFonts w:ascii="Arial" w:eastAsia="Arial Unicode MS" w:hAnsi="Arial" w:cs="David" w:hint="cs"/>
          <w:snapToGrid w:val="0"/>
          <w:spacing w:val="0"/>
          <w:sz w:val="20"/>
          <w:szCs w:val="26"/>
          <w:rtl/>
        </w:rPr>
        <w:t>15</w:t>
      </w:r>
    </w:p>
    <w:p w14:paraId="3B6EB2A2" w14:textId="77777777" w:rsidR="003A0D44" w:rsidRPr="00E635D3" w:rsidRDefault="003A0D44" w:rsidP="003A0D44">
      <w:pPr>
        <w:ind w:left="340" w:firstLine="0"/>
        <w:rPr>
          <w:rFonts w:ascii="Arial" w:eastAsia="Arial Unicode MS" w:hAnsi="Arial" w:cs="David"/>
          <w:snapToGrid w:val="0"/>
          <w:spacing w:val="0"/>
          <w:sz w:val="20"/>
          <w:szCs w:val="26"/>
          <w:rtl/>
        </w:rPr>
      </w:pPr>
    </w:p>
    <w:p w14:paraId="20C7BB42" w14:textId="77777777" w:rsidR="003A0D44" w:rsidRPr="00BE2391" w:rsidRDefault="003A0D44" w:rsidP="003A0D44">
      <w:pPr>
        <w:spacing w:line="360" w:lineRule="auto"/>
      </w:pPr>
    </w:p>
    <w:p w14:paraId="7F6961CB" w14:textId="77777777" w:rsidR="00E13C27" w:rsidRPr="003A0D44" w:rsidRDefault="00E13C27" w:rsidP="003A0D44">
      <w:pPr>
        <w:rPr>
          <w:rtl/>
        </w:rPr>
      </w:pPr>
    </w:p>
    <w:sectPr w:rsidR="00E13C27" w:rsidRPr="003A0D44" w:rsidSect="001207F8">
      <w:footerReference w:type="even" r:id="rId12"/>
      <w:footerReference w:type="default" r:id="rId13"/>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961D3" w14:textId="77777777" w:rsidR="00C23B1A" w:rsidRDefault="00C23B1A">
      <w:r>
        <w:separator/>
      </w:r>
    </w:p>
  </w:endnote>
  <w:endnote w:type="continuationSeparator" w:id="0">
    <w:p w14:paraId="7F6961D4" w14:textId="77777777" w:rsidR="00C23B1A" w:rsidRDefault="00C2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961D5" w14:textId="77777777" w:rsidR="001A0623" w:rsidRDefault="001A0623"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1A0623" w:rsidRDefault="001A062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961D7" w14:textId="77777777" w:rsidR="001A0623" w:rsidRDefault="001A0623"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1718AE">
      <w:rPr>
        <w:rStyle w:val="ab"/>
        <w:noProof/>
        <w:rtl/>
      </w:rPr>
      <w:t>2</w:t>
    </w:r>
    <w:r>
      <w:rPr>
        <w:rStyle w:val="ab"/>
        <w:rtl/>
      </w:rPr>
      <w:fldChar w:fldCharType="end"/>
    </w:r>
  </w:p>
  <w:p w14:paraId="7F6961D8" w14:textId="77777777" w:rsidR="001A0623" w:rsidRDefault="001A062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961D0" w14:textId="77777777" w:rsidR="00C23B1A" w:rsidRDefault="00C23B1A">
      <w:r>
        <w:separator/>
      </w:r>
    </w:p>
  </w:footnote>
  <w:footnote w:type="continuationSeparator" w:id="0">
    <w:p w14:paraId="7F6961D1" w14:textId="77777777" w:rsidR="00C23B1A" w:rsidRDefault="00C23B1A">
      <w:r>
        <w:continuationSeparator/>
      </w:r>
    </w:p>
  </w:footnote>
  <w:footnote w:type="continuationNotice" w:id="1">
    <w:p w14:paraId="7F6961D2" w14:textId="77777777" w:rsidR="00C23B1A" w:rsidRDefault="00C23B1A"/>
  </w:footnote>
  <w:footnote w:id="2">
    <w:p w14:paraId="7C2B8CCF" w14:textId="77777777" w:rsidR="00F32D1A" w:rsidRDefault="00F32D1A" w:rsidP="00F32D1A">
      <w:pPr>
        <w:pStyle w:val="a4"/>
      </w:pPr>
      <w:r>
        <w:rPr>
          <w:rStyle w:val="a6"/>
        </w:rPr>
        <w:footnoteRef/>
      </w:r>
      <w:r>
        <w:rPr>
          <w:rtl/>
        </w:rPr>
        <w:t xml:space="preserve">ס"ח </w:t>
      </w:r>
      <w:proofErr w:type="spellStart"/>
      <w:r>
        <w:rPr>
          <w:rtl/>
        </w:rPr>
        <w:t>התשל"ז</w:t>
      </w:r>
      <w:proofErr w:type="spellEnd"/>
      <w:r>
        <w:rPr>
          <w:rtl/>
        </w:rPr>
        <w:t>, עמ' 226.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FFFFFF7D"/>
    <w:multiLevelType w:val="singleLevel"/>
    <w:tmpl w:val="7D5CAEA8"/>
    <w:lvl w:ilvl="0">
      <w:start w:val="1"/>
      <w:numFmt w:val="decimal"/>
      <w:lvlText w:val="%1."/>
      <w:lvlJc w:val="left"/>
      <w:pPr>
        <w:tabs>
          <w:tab w:val="num" w:pos="1209"/>
        </w:tabs>
        <w:ind w:left="1209" w:hanging="360"/>
      </w:pPr>
    </w:lvl>
  </w:abstractNum>
  <w:abstractNum w:abstractNumId="2">
    <w:nsid w:val="FFFFFF7E"/>
    <w:multiLevelType w:val="singleLevel"/>
    <w:tmpl w:val="67E88A74"/>
    <w:lvl w:ilvl="0">
      <w:start w:val="1"/>
      <w:numFmt w:val="decimal"/>
      <w:lvlText w:val="%1."/>
      <w:lvlJc w:val="left"/>
      <w:pPr>
        <w:tabs>
          <w:tab w:val="num" w:pos="926"/>
        </w:tabs>
        <w:ind w:left="926" w:hanging="360"/>
      </w:pPr>
    </w:lvl>
  </w:abstractNum>
  <w:abstractNum w:abstractNumId="3">
    <w:nsid w:val="FFFFFF7F"/>
    <w:multiLevelType w:val="singleLevel"/>
    <w:tmpl w:val="45DA1EB8"/>
    <w:lvl w:ilvl="0">
      <w:start w:val="1"/>
      <w:numFmt w:val="decimal"/>
      <w:lvlText w:val="%1."/>
      <w:lvlJc w:val="left"/>
      <w:pPr>
        <w:tabs>
          <w:tab w:val="num" w:pos="643"/>
        </w:tabs>
        <w:ind w:left="643" w:hanging="360"/>
      </w:pPr>
    </w:lvl>
  </w:abstractNum>
  <w:abstractNum w:abstractNumId="4">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424606"/>
    <w:lvl w:ilvl="0">
      <w:start w:val="1"/>
      <w:numFmt w:val="decimal"/>
      <w:lvlText w:val="%1."/>
      <w:lvlJc w:val="left"/>
      <w:pPr>
        <w:tabs>
          <w:tab w:val="num" w:pos="360"/>
        </w:tabs>
        <w:ind w:left="360" w:hanging="360"/>
      </w:pPr>
    </w:lvl>
  </w:abstractNum>
  <w:abstractNum w:abstractNumId="9">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7681A"/>
    <w:rsid w:val="000A542E"/>
    <w:rsid w:val="00102B6B"/>
    <w:rsid w:val="001052D4"/>
    <w:rsid w:val="0010644B"/>
    <w:rsid w:val="001207F8"/>
    <w:rsid w:val="00121924"/>
    <w:rsid w:val="001279A8"/>
    <w:rsid w:val="0014195F"/>
    <w:rsid w:val="00152609"/>
    <w:rsid w:val="00153E1B"/>
    <w:rsid w:val="001718AE"/>
    <w:rsid w:val="001A0623"/>
    <w:rsid w:val="001C23B0"/>
    <w:rsid w:val="00203A7F"/>
    <w:rsid w:val="00206143"/>
    <w:rsid w:val="002200A1"/>
    <w:rsid w:val="002362BF"/>
    <w:rsid w:val="00241B97"/>
    <w:rsid w:val="00246756"/>
    <w:rsid w:val="00251E58"/>
    <w:rsid w:val="00254605"/>
    <w:rsid w:val="002728B4"/>
    <w:rsid w:val="0027600C"/>
    <w:rsid w:val="00292712"/>
    <w:rsid w:val="002A487D"/>
    <w:rsid w:val="002C2E29"/>
    <w:rsid w:val="002D1EE3"/>
    <w:rsid w:val="002F1D80"/>
    <w:rsid w:val="003232A2"/>
    <w:rsid w:val="00325C14"/>
    <w:rsid w:val="003710F6"/>
    <w:rsid w:val="00386E88"/>
    <w:rsid w:val="00396585"/>
    <w:rsid w:val="003A0D44"/>
    <w:rsid w:val="003D74A0"/>
    <w:rsid w:val="003D7901"/>
    <w:rsid w:val="004033D8"/>
    <w:rsid w:val="004073F0"/>
    <w:rsid w:val="00412A7D"/>
    <w:rsid w:val="00416B4D"/>
    <w:rsid w:val="00417CFC"/>
    <w:rsid w:val="004B24ED"/>
    <w:rsid w:val="004D2D82"/>
    <w:rsid w:val="004D3876"/>
    <w:rsid w:val="004E4552"/>
    <w:rsid w:val="00553C9D"/>
    <w:rsid w:val="00562A66"/>
    <w:rsid w:val="00565BC2"/>
    <w:rsid w:val="005B064E"/>
    <w:rsid w:val="005D51AE"/>
    <w:rsid w:val="006167AA"/>
    <w:rsid w:val="0062674B"/>
    <w:rsid w:val="006363B2"/>
    <w:rsid w:val="00644940"/>
    <w:rsid w:val="006818A9"/>
    <w:rsid w:val="00696763"/>
    <w:rsid w:val="006A2D81"/>
    <w:rsid w:val="006C1D0D"/>
    <w:rsid w:val="0070601E"/>
    <w:rsid w:val="00712C72"/>
    <w:rsid w:val="00735FE9"/>
    <w:rsid w:val="00763CAA"/>
    <w:rsid w:val="00765F66"/>
    <w:rsid w:val="007C3FA6"/>
    <w:rsid w:val="007D585A"/>
    <w:rsid w:val="007D5A12"/>
    <w:rsid w:val="007E59F9"/>
    <w:rsid w:val="00810BCD"/>
    <w:rsid w:val="00812C98"/>
    <w:rsid w:val="00814D92"/>
    <w:rsid w:val="0083181D"/>
    <w:rsid w:val="00874BBC"/>
    <w:rsid w:val="00892135"/>
    <w:rsid w:val="00895449"/>
    <w:rsid w:val="00897879"/>
    <w:rsid w:val="008A6870"/>
    <w:rsid w:val="008C2DDC"/>
    <w:rsid w:val="008C7516"/>
    <w:rsid w:val="008E6EC7"/>
    <w:rsid w:val="008F0D63"/>
    <w:rsid w:val="008F2C35"/>
    <w:rsid w:val="008F6665"/>
    <w:rsid w:val="0091204F"/>
    <w:rsid w:val="009203DB"/>
    <w:rsid w:val="00923CD4"/>
    <w:rsid w:val="00943386"/>
    <w:rsid w:val="009456B6"/>
    <w:rsid w:val="00957589"/>
    <w:rsid w:val="00966D06"/>
    <w:rsid w:val="00982412"/>
    <w:rsid w:val="00983A8D"/>
    <w:rsid w:val="009A7257"/>
    <w:rsid w:val="009D6E0A"/>
    <w:rsid w:val="00A14672"/>
    <w:rsid w:val="00A26BD6"/>
    <w:rsid w:val="00A443CF"/>
    <w:rsid w:val="00A6611D"/>
    <w:rsid w:val="00A82CB7"/>
    <w:rsid w:val="00AA2F03"/>
    <w:rsid w:val="00AC36F7"/>
    <w:rsid w:val="00AC63A4"/>
    <w:rsid w:val="00AD239E"/>
    <w:rsid w:val="00B10265"/>
    <w:rsid w:val="00B21211"/>
    <w:rsid w:val="00B35784"/>
    <w:rsid w:val="00B733A7"/>
    <w:rsid w:val="00B975AD"/>
    <w:rsid w:val="00BC45FB"/>
    <w:rsid w:val="00BF148D"/>
    <w:rsid w:val="00C23B1A"/>
    <w:rsid w:val="00C310EB"/>
    <w:rsid w:val="00C9176A"/>
    <w:rsid w:val="00CF1AA2"/>
    <w:rsid w:val="00D63620"/>
    <w:rsid w:val="00D8410D"/>
    <w:rsid w:val="00D867D7"/>
    <w:rsid w:val="00DB7060"/>
    <w:rsid w:val="00DE3153"/>
    <w:rsid w:val="00E06736"/>
    <w:rsid w:val="00E13C27"/>
    <w:rsid w:val="00E33BBD"/>
    <w:rsid w:val="00E45103"/>
    <w:rsid w:val="00E665B9"/>
    <w:rsid w:val="00EA01E6"/>
    <w:rsid w:val="00EA3DE8"/>
    <w:rsid w:val="00EA758F"/>
    <w:rsid w:val="00ED4A6F"/>
    <w:rsid w:val="00EF3A3A"/>
    <w:rsid w:val="00F32D1A"/>
    <w:rsid w:val="00F628D6"/>
    <w:rsid w:val="00F67051"/>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901"/>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3D7901"/>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3D7901"/>
    <w:rPr>
      <w:sz w:val="36"/>
      <w:szCs w:val="52"/>
    </w:rPr>
  </w:style>
  <w:style w:type="paragraph" w:customStyle="1" w:styleId="Cover3-Haknesset">
    <w:name w:val="Cover 3-Haknesset"/>
    <w:basedOn w:val="Cover1-Reshumot"/>
    <w:rsid w:val="003D7901"/>
    <w:rPr>
      <w:b/>
      <w:bCs/>
      <w:spacing w:val="60"/>
    </w:rPr>
  </w:style>
  <w:style w:type="paragraph" w:customStyle="1" w:styleId="Cover4-Date">
    <w:name w:val="Cover 4-Date"/>
    <w:basedOn w:val="a"/>
    <w:rsid w:val="003D7901"/>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3D7901"/>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3D7901"/>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3D7901"/>
    <w:pPr>
      <w:spacing w:before="120" w:after="120"/>
    </w:pPr>
    <w:rPr>
      <w:color w:val="FF0000"/>
      <w:w w:val="80"/>
    </w:rPr>
  </w:style>
  <w:style w:type="paragraph" w:styleId="a3">
    <w:name w:val="endnote text"/>
    <w:basedOn w:val="a"/>
    <w:semiHidden/>
    <w:rsid w:val="003D7901"/>
    <w:pPr>
      <w:ind w:left="227" w:hanging="227"/>
    </w:pPr>
    <w:rPr>
      <w:sz w:val="14"/>
      <w:szCs w:val="22"/>
    </w:rPr>
  </w:style>
  <w:style w:type="paragraph" w:customStyle="1" w:styleId="TableText">
    <w:name w:val="Table Text"/>
    <w:basedOn w:val="a"/>
    <w:rsid w:val="003D7901"/>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3D7901"/>
  </w:style>
  <w:style w:type="paragraph" w:customStyle="1" w:styleId="TableBlock">
    <w:name w:val="Table Block"/>
    <w:basedOn w:val="TableText"/>
    <w:rsid w:val="003D7901"/>
    <w:pPr>
      <w:ind w:right="0"/>
      <w:jc w:val="both"/>
    </w:pPr>
  </w:style>
  <w:style w:type="paragraph" w:customStyle="1" w:styleId="TableHead">
    <w:name w:val="Table Head"/>
    <w:basedOn w:val="TableText"/>
    <w:rsid w:val="003D7901"/>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3D7901"/>
  </w:style>
  <w:style w:type="paragraph" w:customStyle="1" w:styleId="Hesber">
    <w:name w:val="Hesber"/>
    <w:basedOn w:val="a"/>
    <w:rsid w:val="003D7901"/>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3D7901"/>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3D7901"/>
    <w:rPr>
      <w:vertAlign w:val="superscript"/>
    </w:rPr>
  </w:style>
  <w:style w:type="paragraph" w:customStyle="1" w:styleId="HesberHeading">
    <w:name w:val="Hesber Heading"/>
    <w:basedOn w:val="Hesber"/>
    <w:rsid w:val="003D7901"/>
    <w:pPr>
      <w:tabs>
        <w:tab w:val="left" w:pos="624"/>
        <w:tab w:val="left" w:pos="1247"/>
      </w:tabs>
      <w:ind w:firstLine="0"/>
    </w:pPr>
    <w:rPr>
      <w:b/>
      <w:bCs/>
    </w:rPr>
  </w:style>
  <w:style w:type="paragraph" w:customStyle="1" w:styleId="HesberWriters">
    <w:name w:val="Hesber Writers"/>
    <w:basedOn w:val="Hesber"/>
    <w:rsid w:val="003D7901"/>
    <w:pPr>
      <w:spacing w:before="120" w:after="6000"/>
      <w:ind w:left="1418" w:firstLine="0"/>
      <w:jc w:val="right"/>
    </w:pPr>
    <w:rPr>
      <w:b/>
      <w:bCs/>
    </w:rPr>
  </w:style>
  <w:style w:type="paragraph" w:customStyle="1" w:styleId="Hesber1st">
    <w:name w:val="Hesber 1st"/>
    <w:basedOn w:val="Hesber"/>
    <w:rsid w:val="003D7901"/>
    <w:pPr>
      <w:tabs>
        <w:tab w:val="left" w:pos="680"/>
        <w:tab w:val="left" w:pos="1020"/>
      </w:tabs>
      <w:ind w:firstLine="0"/>
    </w:pPr>
  </w:style>
  <w:style w:type="character" w:styleId="a7">
    <w:name w:val="endnote reference"/>
    <w:basedOn w:val="a0"/>
    <w:semiHidden/>
    <w:rsid w:val="003D7901"/>
    <w:rPr>
      <w:vertAlign w:val="superscript"/>
    </w:rPr>
  </w:style>
  <w:style w:type="paragraph" w:customStyle="1" w:styleId="TableBlockOutdent">
    <w:name w:val="Table BlockOutdent"/>
    <w:basedOn w:val="TableBlock"/>
    <w:rsid w:val="003D7901"/>
    <w:pPr>
      <w:ind w:left="624" w:hanging="624"/>
    </w:pPr>
  </w:style>
  <w:style w:type="paragraph" w:styleId="a8">
    <w:name w:val="header"/>
    <w:basedOn w:val="a"/>
    <w:rsid w:val="003D7901"/>
    <w:pPr>
      <w:tabs>
        <w:tab w:val="center" w:pos="4153"/>
        <w:tab w:val="right" w:pos="8306"/>
      </w:tabs>
    </w:pPr>
  </w:style>
  <w:style w:type="paragraph" w:styleId="a9">
    <w:name w:val="footer"/>
    <w:basedOn w:val="a"/>
    <w:rsid w:val="003D7901"/>
    <w:pPr>
      <w:tabs>
        <w:tab w:val="center" w:pos="4153"/>
        <w:tab w:val="right" w:pos="8306"/>
      </w:tabs>
    </w:pPr>
  </w:style>
  <w:style w:type="paragraph" w:customStyle="1" w:styleId="HeadDivreiHesber">
    <w:name w:val="Head DivreiHesber"/>
    <w:basedOn w:val="a"/>
    <w:rsid w:val="003D7901"/>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3D7901"/>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3D7901"/>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link w:val="a4"/>
    <w:semiHidden/>
    <w:locked/>
    <w:rsid w:val="00565BC2"/>
    <w:rPr>
      <w:rFonts w:ascii="Arial" w:eastAsia="Arial Unicode MS" w:hAnsi="Arial" w:cs="David"/>
      <w:snapToGrid w:val="0"/>
      <w:color w:val="000000"/>
      <w:sz w:val="1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901"/>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3D7901"/>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3D7901"/>
    <w:rPr>
      <w:sz w:val="36"/>
      <w:szCs w:val="52"/>
    </w:rPr>
  </w:style>
  <w:style w:type="paragraph" w:customStyle="1" w:styleId="Cover3-Haknesset">
    <w:name w:val="Cover 3-Haknesset"/>
    <w:basedOn w:val="Cover1-Reshumot"/>
    <w:rsid w:val="003D7901"/>
    <w:rPr>
      <w:b/>
      <w:bCs/>
      <w:spacing w:val="60"/>
    </w:rPr>
  </w:style>
  <w:style w:type="paragraph" w:customStyle="1" w:styleId="Cover4-Date">
    <w:name w:val="Cover 4-Date"/>
    <w:basedOn w:val="a"/>
    <w:rsid w:val="003D7901"/>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3D7901"/>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3D7901"/>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3D7901"/>
    <w:pPr>
      <w:spacing w:before="120" w:after="120"/>
    </w:pPr>
    <w:rPr>
      <w:color w:val="FF0000"/>
      <w:w w:val="80"/>
    </w:rPr>
  </w:style>
  <w:style w:type="paragraph" w:styleId="a3">
    <w:name w:val="endnote text"/>
    <w:basedOn w:val="a"/>
    <w:semiHidden/>
    <w:rsid w:val="003D7901"/>
    <w:pPr>
      <w:ind w:left="227" w:hanging="227"/>
    </w:pPr>
    <w:rPr>
      <w:sz w:val="14"/>
      <w:szCs w:val="22"/>
    </w:rPr>
  </w:style>
  <w:style w:type="paragraph" w:customStyle="1" w:styleId="TableText">
    <w:name w:val="Table Text"/>
    <w:basedOn w:val="a"/>
    <w:rsid w:val="003D7901"/>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3D7901"/>
  </w:style>
  <w:style w:type="paragraph" w:customStyle="1" w:styleId="TableBlock">
    <w:name w:val="Table Block"/>
    <w:basedOn w:val="TableText"/>
    <w:rsid w:val="003D7901"/>
    <w:pPr>
      <w:ind w:right="0"/>
      <w:jc w:val="both"/>
    </w:pPr>
  </w:style>
  <w:style w:type="paragraph" w:customStyle="1" w:styleId="TableHead">
    <w:name w:val="Table Head"/>
    <w:basedOn w:val="TableText"/>
    <w:rsid w:val="003D7901"/>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3D7901"/>
  </w:style>
  <w:style w:type="paragraph" w:customStyle="1" w:styleId="Hesber">
    <w:name w:val="Hesber"/>
    <w:basedOn w:val="a"/>
    <w:rsid w:val="003D7901"/>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3D7901"/>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3D7901"/>
    <w:rPr>
      <w:vertAlign w:val="superscript"/>
    </w:rPr>
  </w:style>
  <w:style w:type="paragraph" w:customStyle="1" w:styleId="HesberHeading">
    <w:name w:val="Hesber Heading"/>
    <w:basedOn w:val="Hesber"/>
    <w:rsid w:val="003D7901"/>
    <w:pPr>
      <w:tabs>
        <w:tab w:val="left" w:pos="624"/>
        <w:tab w:val="left" w:pos="1247"/>
      </w:tabs>
      <w:ind w:firstLine="0"/>
    </w:pPr>
    <w:rPr>
      <w:b/>
      <w:bCs/>
    </w:rPr>
  </w:style>
  <w:style w:type="paragraph" w:customStyle="1" w:styleId="HesberWriters">
    <w:name w:val="Hesber Writers"/>
    <w:basedOn w:val="Hesber"/>
    <w:rsid w:val="003D7901"/>
    <w:pPr>
      <w:spacing w:before="120" w:after="6000"/>
      <w:ind w:left="1418" w:firstLine="0"/>
      <w:jc w:val="right"/>
    </w:pPr>
    <w:rPr>
      <w:b/>
      <w:bCs/>
    </w:rPr>
  </w:style>
  <w:style w:type="paragraph" w:customStyle="1" w:styleId="Hesber1st">
    <w:name w:val="Hesber 1st"/>
    <w:basedOn w:val="Hesber"/>
    <w:rsid w:val="003D7901"/>
    <w:pPr>
      <w:tabs>
        <w:tab w:val="left" w:pos="680"/>
        <w:tab w:val="left" w:pos="1020"/>
      </w:tabs>
      <w:ind w:firstLine="0"/>
    </w:pPr>
  </w:style>
  <w:style w:type="character" w:styleId="a7">
    <w:name w:val="endnote reference"/>
    <w:basedOn w:val="a0"/>
    <w:semiHidden/>
    <w:rsid w:val="003D7901"/>
    <w:rPr>
      <w:vertAlign w:val="superscript"/>
    </w:rPr>
  </w:style>
  <w:style w:type="paragraph" w:customStyle="1" w:styleId="TableBlockOutdent">
    <w:name w:val="Table BlockOutdent"/>
    <w:basedOn w:val="TableBlock"/>
    <w:rsid w:val="003D7901"/>
    <w:pPr>
      <w:ind w:left="624" w:hanging="624"/>
    </w:pPr>
  </w:style>
  <w:style w:type="paragraph" w:styleId="a8">
    <w:name w:val="header"/>
    <w:basedOn w:val="a"/>
    <w:rsid w:val="003D7901"/>
    <w:pPr>
      <w:tabs>
        <w:tab w:val="center" w:pos="4153"/>
        <w:tab w:val="right" w:pos="8306"/>
      </w:tabs>
    </w:pPr>
  </w:style>
  <w:style w:type="paragraph" w:styleId="a9">
    <w:name w:val="footer"/>
    <w:basedOn w:val="a"/>
    <w:rsid w:val="003D7901"/>
    <w:pPr>
      <w:tabs>
        <w:tab w:val="center" w:pos="4153"/>
        <w:tab w:val="right" w:pos="8306"/>
      </w:tabs>
    </w:pPr>
  </w:style>
  <w:style w:type="paragraph" w:customStyle="1" w:styleId="HeadDivreiHesber">
    <w:name w:val="Head DivreiHesber"/>
    <w:basedOn w:val="a"/>
    <w:rsid w:val="003D7901"/>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3D7901"/>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3D7901"/>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link w:val="a4"/>
    <w:semiHidden/>
    <w:locked/>
    <w:rsid w:val="00565BC2"/>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schemas.openxmlformats.org/package/2006/metadata/core-properties"/>
    <ds:schemaRef ds:uri="http://purl.org/dc/dcmitype/"/>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CAB5AB05-6D31-43BA-BC32-A5D7DE7E5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35D0F8B-A4EB-4712-B0EB-E79AC8D4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1853</Characters>
  <Application>Microsoft Office Word</Application>
  <DocSecurity>4</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עידן פז</cp:lastModifiedBy>
  <cp:revision>2</cp:revision>
  <cp:lastPrinted>2015-04-27T07:29:00Z</cp:lastPrinted>
  <dcterms:created xsi:type="dcterms:W3CDTF">2015-10-14T09:22:00Z</dcterms:created>
  <dcterms:modified xsi:type="dcterms:W3CDTF">2015-10-14T09:22:00Z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0354fdee-f711-4d2a-9cf2-2d1c4d9ac92a</vt:lpwstr>
  </property>
  <property fmtid="{D5CDD505-2E9C-101B-9397-08002B2CF9AE}" pid="4" name="SanhedrinDocumentType">
    <vt:r8>10</vt:r8>
  </property>
  <property fmtid="{D5CDD505-2E9C-101B-9397-08002B2CF9AE}" pid="5" name="SanhedrinItemID">
    <vt:r8>562225</vt:r8>
  </property>
</Properties>
</file>