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9B" w:rsidRDefault="002A2252" w:rsidP="004E24B1">
      <w:pPr>
        <w:pStyle w:val="HeadHatzaotHok"/>
        <w:tabs>
          <w:tab w:val="center" w:pos="4156"/>
          <w:tab w:val="right" w:pos="8312"/>
        </w:tabs>
        <w:spacing w:before="0" w:line="26" w:lineRule="atLeast"/>
        <w:jc w:val="left"/>
        <w:rPr>
          <w:b w:val="0"/>
          <w:bCs w:val="0"/>
          <w:sz w:val="24"/>
          <w:szCs w:val="24"/>
          <w:rtl/>
        </w:rPr>
      </w:pPr>
      <w:bookmarkStart w:id="0" w:name="LGSName"/>
      <w:bookmarkStart w:id="1" w:name="_GoBack"/>
      <w:bookmarkEnd w:id="1"/>
      <w:r>
        <w:rPr>
          <w:b w:val="0"/>
          <w:bCs w:val="0"/>
          <w:sz w:val="16"/>
          <w:szCs w:val="22"/>
          <w:rtl/>
        </w:rPr>
        <w:tab/>
      </w:r>
      <w:r>
        <w:rPr>
          <w:b w:val="0"/>
          <w:bCs w:val="0"/>
          <w:sz w:val="16"/>
          <w:szCs w:val="22"/>
          <w:rtl/>
        </w:rPr>
        <w:tab/>
      </w:r>
      <w:r w:rsidR="004E24B1">
        <w:rPr>
          <w:rFonts w:hint="eastAsia"/>
          <w:b w:val="0"/>
          <w:bCs w:val="0"/>
          <w:sz w:val="24"/>
          <w:szCs w:val="24"/>
          <w:rtl/>
        </w:rPr>
        <w:t>‏כ</w:t>
      </w:r>
      <w:r w:rsidR="004E24B1">
        <w:rPr>
          <w:b w:val="0"/>
          <w:bCs w:val="0"/>
          <w:sz w:val="24"/>
          <w:szCs w:val="24"/>
          <w:rtl/>
        </w:rPr>
        <w:t>"ט טבת, תשע"ו</w:t>
      </w:r>
    </w:p>
    <w:p w:rsidR="004E24B1" w:rsidRPr="008513BC" w:rsidRDefault="004E24B1" w:rsidP="004E24B1">
      <w:pPr>
        <w:pStyle w:val="HeadHatzaotHok"/>
        <w:tabs>
          <w:tab w:val="center" w:pos="4156"/>
          <w:tab w:val="right" w:pos="8312"/>
        </w:tabs>
        <w:spacing w:before="0" w:line="26" w:lineRule="atLeast"/>
        <w:jc w:val="right"/>
        <w:rPr>
          <w:b w:val="0"/>
          <w:bCs w:val="0"/>
          <w:sz w:val="24"/>
          <w:szCs w:val="24"/>
          <w:rtl/>
        </w:rPr>
      </w:pPr>
      <w:r>
        <w:rPr>
          <w:rFonts w:hint="eastAsia"/>
          <w:b w:val="0"/>
          <w:bCs w:val="0"/>
          <w:sz w:val="24"/>
          <w:szCs w:val="24"/>
          <w:rtl/>
        </w:rPr>
        <w:t>‏</w:t>
      </w:r>
      <w:r>
        <w:rPr>
          <w:b w:val="0"/>
          <w:bCs w:val="0"/>
          <w:sz w:val="24"/>
          <w:szCs w:val="24"/>
          <w:rtl/>
        </w:rPr>
        <w:t>10 ינואר, 2016</w:t>
      </w:r>
    </w:p>
    <w:p w:rsidR="00F3519B" w:rsidRPr="008513BC" w:rsidRDefault="00F3519B" w:rsidP="00F3519B">
      <w:pPr>
        <w:pStyle w:val="HeadHatzaotHok"/>
        <w:spacing w:before="0" w:line="26" w:lineRule="atLeast"/>
        <w:jc w:val="left"/>
        <w:rPr>
          <w:b w:val="0"/>
          <w:bCs w:val="0"/>
          <w:sz w:val="24"/>
          <w:szCs w:val="24"/>
          <w:rtl/>
        </w:rPr>
      </w:pPr>
    </w:p>
    <w:p w:rsidR="00D51CBE" w:rsidRDefault="00D51CBE" w:rsidP="00F3519B">
      <w:pPr>
        <w:pStyle w:val="HeadHatzaotHok"/>
        <w:spacing w:before="0" w:line="26" w:lineRule="atLeast"/>
        <w:jc w:val="left"/>
        <w:rPr>
          <w:b w:val="0"/>
          <w:bCs w:val="0"/>
          <w:sz w:val="24"/>
          <w:szCs w:val="24"/>
          <w:rtl/>
        </w:rPr>
      </w:pPr>
    </w:p>
    <w:p w:rsidR="00F3519B" w:rsidRPr="008513BC" w:rsidRDefault="00B44CB6" w:rsidP="00F3519B">
      <w:pPr>
        <w:pStyle w:val="HeadHatzaotHok"/>
        <w:spacing w:before="0" w:line="26" w:lineRule="atLeast"/>
        <w:jc w:val="left"/>
        <w:rPr>
          <w:b w:val="0"/>
          <w:bCs w:val="0"/>
          <w:sz w:val="24"/>
          <w:szCs w:val="24"/>
          <w:rtl/>
        </w:rPr>
      </w:pPr>
      <w:r w:rsidRPr="008513BC">
        <w:rPr>
          <w:rFonts w:hint="cs"/>
          <w:b w:val="0"/>
          <w:bCs w:val="0"/>
          <w:sz w:val="24"/>
          <w:szCs w:val="24"/>
          <w:rtl/>
        </w:rPr>
        <w:t>אל</w:t>
      </w:r>
      <w:r w:rsidR="00F3519B" w:rsidRPr="008513BC">
        <w:rPr>
          <w:rFonts w:hint="cs"/>
          <w:b w:val="0"/>
          <w:bCs w:val="0"/>
          <w:sz w:val="24"/>
          <w:szCs w:val="24"/>
          <w:rtl/>
        </w:rPr>
        <w:t xml:space="preserve">: </w:t>
      </w:r>
      <w:r w:rsidR="004E24B1">
        <w:rPr>
          <w:rFonts w:hint="cs"/>
          <w:b w:val="0"/>
          <w:bCs w:val="0"/>
          <w:sz w:val="24"/>
          <w:szCs w:val="24"/>
          <w:rtl/>
        </w:rPr>
        <w:t xml:space="preserve">חברי </w:t>
      </w:r>
      <w:r w:rsidR="00F3519B" w:rsidRPr="008513BC">
        <w:rPr>
          <w:rFonts w:hint="cs"/>
          <w:b w:val="0"/>
          <w:bCs w:val="0"/>
          <w:sz w:val="24"/>
          <w:szCs w:val="24"/>
          <w:rtl/>
        </w:rPr>
        <w:t xml:space="preserve">ועדת החוקה, חוק ומשפט  </w:t>
      </w:r>
    </w:p>
    <w:p w:rsidR="00F3519B" w:rsidRPr="008513BC" w:rsidRDefault="00F3519B" w:rsidP="00F3519B">
      <w:pPr>
        <w:pStyle w:val="HeadHatzaotHok"/>
        <w:spacing w:before="0" w:line="26" w:lineRule="atLeast"/>
        <w:jc w:val="left"/>
        <w:rPr>
          <w:b w:val="0"/>
          <w:bCs w:val="0"/>
          <w:sz w:val="24"/>
          <w:szCs w:val="24"/>
          <w:rtl/>
        </w:rPr>
      </w:pPr>
      <w:r w:rsidRPr="008513BC">
        <w:rPr>
          <w:rFonts w:hint="cs"/>
          <w:b w:val="0"/>
          <w:bCs w:val="0"/>
          <w:sz w:val="24"/>
          <w:szCs w:val="24"/>
          <w:rtl/>
        </w:rPr>
        <w:t xml:space="preserve">מאת: הייעוץ המשפטי לוועדה </w:t>
      </w:r>
    </w:p>
    <w:p w:rsidR="009F70B2" w:rsidRDefault="009F70B2" w:rsidP="00F3519B">
      <w:pPr>
        <w:pStyle w:val="HeadHatzaotHok"/>
        <w:spacing w:before="0" w:line="26" w:lineRule="atLeast"/>
        <w:jc w:val="left"/>
        <w:rPr>
          <w:b w:val="0"/>
          <w:bCs w:val="0"/>
          <w:sz w:val="16"/>
          <w:szCs w:val="22"/>
          <w:rtl/>
        </w:rPr>
      </w:pPr>
    </w:p>
    <w:p w:rsidR="00D51CBE" w:rsidRDefault="00D51CBE" w:rsidP="00F3519B">
      <w:pPr>
        <w:pStyle w:val="HeadHatzaotHok"/>
        <w:spacing w:before="0" w:line="26" w:lineRule="atLeast"/>
        <w:jc w:val="left"/>
        <w:rPr>
          <w:b w:val="0"/>
          <w:bCs w:val="0"/>
          <w:sz w:val="16"/>
          <w:szCs w:val="22"/>
          <w:rtl/>
        </w:rPr>
      </w:pPr>
    </w:p>
    <w:p w:rsidR="009F70B2" w:rsidRPr="00F3519B" w:rsidRDefault="009F70B2" w:rsidP="00F3519B">
      <w:pPr>
        <w:pStyle w:val="HeadHatzaotHok"/>
        <w:spacing w:before="0" w:line="26" w:lineRule="atLeast"/>
        <w:jc w:val="left"/>
        <w:rPr>
          <w:b w:val="0"/>
          <w:bCs w:val="0"/>
          <w:sz w:val="16"/>
          <w:szCs w:val="22"/>
          <w:rtl/>
        </w:rPr>
      </w:pPr>
    </w:p>
    <w:p w:rsidR="000B21E3" w:rsidRDefault="009F70B2" w:rsidP="009F70B2">
      <w:pPr>
        <w:pStyle w:val="HeadHatzaotHok"/>
        <w:spacing w:before="0" w:line="26" w:lineRule="atLeast"/>
        <w:rPr>
          <w:sz w:val="18"/>
          <w:szCs w:val="24"/>
          <w:u w:val="single"/>
          <w:rtl/>
        </w:rPr>
      </w:pPr>
      <w:r w:rsidRPr="001F7FA1">
        <w:rPr>
          <w:rFonts w:hint="cs"/>
          <w:sz w:val="18"/>
          <w:szCs w:val="24"/>
          <w:u w:val="single"/>
          <w:rtl/>
        </w:rPr>
        <w:t xml:space="preserve">הנדון: </w:t>
      </w:r>
      <w:r w:rsidR="00F3519B" w:rsidRPr="001F7FA1">
        <w:rPr>
          <w:rFonts w:hint="cs"/>
          <w:sz w:val="18"/>
          <w:szCs w:val="24"/>
          <w:u w:val="single"/>
          <w:rtl/>
        </w:rPr>
        <w:t>חוק סמכויות לשם שמירה על ביטחון הציבור, התשע"ו</w:t>
      </w:r>
      <w:r w:rsidR="00F3519B" w:rsidRPr="001F7FA1">
        <w:rPr>
          <w:rFonts w:hint="eastAsia"/>
          <w:sz w:val="18"/>
          <w:szCs w:val="24"/>
          <w:u w:val="single"/>
          <w:rtl/>
        </w:rPr>
        <w:t>–</w:t>
      </w:r>
      <w:r w:rsidR="00F3519B" w:rsidRPr="001F7FA1">
        <w:rPr>
          <w:rFonts w:hint="cs"/>
          <w:sz w:val="18"/>
          <w:szCs w:val="24"/>
          <w:u w:val="single"/>
          <w:rtl/>
        </w:rPr>
        <w:t>2015</w:t>
      </w:r>
    </w:p>
    <w:p w:rsidR="00F3519B" w:rsidRPr="001F7FA1" w:rsidRDefault="002A2252" w:rsidP="00557EED">
      <w:pPr>
        <w:pStyle w:val="HeadHatzaotHok"/>
        <w:spacing w:before="0" w:line="26" w:lineRule="atLeast"/>
        <w:rPr>
          <w:sz w:val="18"/>
          <w:szCs w:val="24"/>
          <w:u w:val="single"/>
          <w:rtl/>
        </w:rPr>
      </w:pPr>
      <w:r>
        <w:rPr>
          <w:rFonts w:hint="cs"/>
          <w:sz w:val="18"/>
          <w:szCs w:val="24"/>
          <w:u w:val="single"/>
          <w:rtl/>
        </w:rPr>
        <w:t>נוסח לדיון ודברי הסבר</w:t>
      </w:r>
    </w:p>
    <w:p w:rsidR="00F3519B" w:rsidRDefault="00F3519B" w:rsidP="005459B4">
      <w:pPr>
        <w:pStyle w:val="HeadHatzaotHok"/>
        <w:spacing w:before="0" w:line="26" w:lineRule="atLeast"/>
        <w:jc w:val="both"/>
        <w:rPr>
          <w:sz w:val="18"/>
          <w:szCs w:val="24"/>
          <w:rtl/>
        </w:rPr>
      </w:pPr>
    </w:p>
    <w:p w:rsidR="00D51CBE" w:rsidRDefault="00D51CBE" w:rsidP="005459B4">
      <w:pPr>
        <w:pStyle w:val="HeadHatzaotHok"/>
        <w:spacing w:before="0" w:line="26" w:lineRule="atLeast"/>
        <w:jc w:val="both"/>
        <w:rPr>
          <w:sz w:val="18"/>
          <w:szCs w:val="24"/>
          <w:rtl/>
        </w:rPr>
      </w:pPr>
    </w:p>
    <w:p w:rsidR="00D51CBE" w:rsidRDefault="00D51CBE" w:rsidP="005459B4">
      <w:pPr>
        <w:pStyle w:val="HeadHatzaotHok"/>
        <w:spacing w:before="0" w:line="26" w:lineRule="atLeast"/>
        <w:jc w:val="both"/>
        <w:rPr>
          <w:sz w:val="18"/>
          <w:szCs w:val="24"/>
          <w:rtl/>
        </w:rPr>
      </w:pPr>
    </w:p>
    <w:p w:rsidR="00622229" w:rsidRDefault="002A2252" w:rsidP="004E24B1">
      <w:pPr>
        <w:pStyle w:val="HeadHatzaotHok"/>
        <w:spacing w:before="0"/>
        <w:jc w:val="both"/>
        <w:rPr>
          <w:b w:val="0"/>
          <w:bCs w:val="0"/>
          <w:sz w:val="18"/>
          <w:szCs w:val="24"/>
          <w:rtl/>
        </w:rPr>
      </w:pPr>
      <w:r>
        <w:rPr>
          <w:rFonts w:hint="cs"/>
          <w:b w:val="0"/>
          <w:bCs w:val="0"/>
          <w:sz w:val="18"/>
          <w:szCs w:val="24"/>
          <w:rtl/>
        </w:rPr>
        <w:t xml:space="preserve">בעקבות ישיבת </w:t>
      </w:r>
      <w:r w:rsidR="004E24B1">
        <w:rPr>
          <w:rFonts w:hint="cs"/>
          <w:b w:val="0"/>
          <w:bCs w:val="0"/>
          <w:sz w:val="18"/>
          <w:szCs w:val="24"/>
          <w:rtl/>
        </w:rPr>
        <w:t>ועדת החוקה חוק ומשפט</w:t>
      </w:r>
      <w:r>
        <w:rPr>
          <w:rFonts w:hint="cs"/>
          <w:b w:val="0"/>
          <w:bCs w:val="0"/>
          <w:sz w:val="18"/>
          <w:szCs w:val="24"/>
          <w:rtl/>
        </w:rPr>
        <w:t xml:space="preserve"> מיום</w:t>
      </w:r>
      <w:r w:rsidR="00622229">
        <w:rPr>
          <w:rFonts w:hint="cs"/>
          <w:b w:val="0"/>
          <w:bCs w:val="0"/>
          <w:sz w:val="18"/>
          <w:szCs w:val="24"/>
          <w:rtl/>
        </w:rPr>
        <w:t xml:space="preserve"> </w:t>
      </w:r>
      <w:r w:rsidR="00F25362">
        <w:rPr>
          <w:rFonts w:hint="cs"/>
          <w:b w:val="0"/>
          <w:bCs w:val="0"/>
          <w:sz w:val="18"/>
          <w:szCs w:val="24"/>
          <w:rtl/>
        </w:rPr>
        <w:t>כ"ט בחשון התשע"ו (11.11.2015)</w:t>
      </w:r>
      <w:r w:rsidR="006B4D09">
        <w:rPr>
          <w:rFonts w:hint="cs"/>
          <w:b w:val="0"/>
          <w:bCs w:val="0"/>
          <w:sz w:val="18"/>
          <w:szCs w:val="24"/>
          <w:rtl/>
        </w:rPr>
        <w:t xml:space="preserve"> </w:t>
      </w:r>
      <w:r>
        <w:rPr>
          <w:rFonts w:hint="cs"/>
          <w:b w:val="0"/>
          <w:bCs w:val="0"/>
          <w:sz w:val="18"/>
          <w:szCs w:val="24"/>
          <w:rtl/>
        </w:rPr>
        <w:t>ביקשָנו יו"ר ועדת החוקה, חוק ומשפט</w:t>
      </w:r>
      <w:r w:rsidR="00C16A52">
        <w:rPr>
          <w:rFonts w:hint="cs"/>
          <w:b w:val="0"/>
          <w:bCs w:val="0"/>
          <w:sz w:val="18"/>
          <w:szCs w:val="24"/>
          <w:rtl/>
        </w:rPr>
        <w:t>, חה"כ ניסן סלומינסקי,</w:t>
      </w:r>
      <w:r w:rsidR="0091449F">
        <w:rPr>
          <w:rFonts w:hint="cs"/>
          <w:b w:val="0"/>
          <w:bCs w:val="0"/>
          <w:sz w:val="18"/>
          <w:szCs w:val="24"/>
          <w:rtl/>
        </w:rPr>
        <w:t xml:space="preserve"> </w:t>
      </w:r>
      <w:r w:rsidR="00557EED">
        <w:rPr>
          <w:rFonts w:hint="cs"/>
          <w:b w:val="0"/>
          <w:bCs w:val="0"/>
          <w:sz w:val="18"/>
          <w:szCs w:val="24"/>
          <w:rtl/>
        </w:rPr>
        <w:t>להידבר עם גורמי הממשלה ו</w:t>
      </w:r>
      <w:r>
        <w:rPr>
          <w:rFonts w:hint="cs"/>
          <w:b w:val="0"/>
          <w:bCs w:val="0"/>
          <w:sz w:val="18"/>
          <w:szCs w:val="24"/>
          <w:rtl/>
        </w:rPr>
        <w:t xml:space="preserve">להציע </w:t>
      </w:r>
      <w:r w:rsidR="00557EED">
        <w:rPr>
          <w:rFonts w:hint="cs"/>
          <w:b w:val="0"/>
          <w:bCs w:val="0"/>
          <w:sz w:val="18"/>
          <w:szCs w:val="24"/>
          <w:rtl/>
        </w:rPr>
        <w:t>נוסח שיבהיר עוד את המצבים</w:t>
      </w:r>
      <w:r>
        <w:rPr>
          <w:rFonts w:hint="cs"/>
          <w:b w:val="0"/>
          <w:bCs w:val="0"/>
          <w:sz w:val="18"/>
          <w:szCs w:val="24"/>
          <w:rtl/>
        </w:rPr>
        <w:t xml:space="preserve"> לחיפוש נשק על הגוף</w:t>
      </w:r>
      <w:r w:rsidR="00557EED">
        <w:rPr>
          <w:rFonts w:hint="cs"/>
          <w:b w:val="0"/>
          <w:bCs w:val="0"/>
          <w:sz w:val="18"/>
          <w:szCs w:val="24"/>
          <w:rtl/>
        </w:rPr>
        <w:t xml:space="preserve"> בחשד סביר</w:t>
      </w:r>
      <w:r w:rsidR="000B21E3">
        <w:rPr>
          <w:rFonts w:hint="cs"/>
          <w:b w:val="0"/>
          <w:bCs w:val="0"/>
          <w:sz w:val="18"/>
          <w:szCs w:val="24"/>
          <w:rtl/>
        </w:rPr>
        <w:t xml:space="preserve">, באופן שמחד גיסה ישמור על העיקרון של חיפוש בשל חשד סביר לביצוע עבירת אלימות, ומאידך גיסה ייתן כלים בידי המשטרה </w:t>
      </w:r>
      <w:r w:rsidR="00557EED">
        <w:rPr>
          <w:rFonts w:hint="cs"/>
          <w:b w:val="0"/>
          <w:bCs w:val="0"/>
          <w:sz w:val="18"/>
          <w:szCs w:val="24"/>
          <w:rtl/>
        </w:rPr>
        <w:t>לביצוע חיפוש במצבים הטיפוסיים שלפי ניסיו</w:t>
      </w:r>
      <w:r w:rsidR="008513BC">
        <w:rPr>
          <w:rFonts w:hint="cs"/>
          <w:b w:val="0"/>
          <w:bCs w:val="0"/>
          <w:sz w:val="18"/>
          <w:szCs w:val="24"/>
          <w:rtl/>
        </w:rPr>
        <w:t>ן השוטרים</w:t>
      </w:r>
      <w:r w:rsidR="00557EED">
        <w:rPr>
          <w:rFonts w:hint="cs"/>
          <w:b w:val="0"/>
          <w:bCs w:val="0"/>
          <w:sz w:val="18"/>
          <w:szCs w:val="24"/>
          <w:rtl/>
        </w:rPr>
        <w:t xml:space="preserve"> עלולים להתגלגל לעבירות אלימות ולשימוש בנשק שלא כדין. </w:t>
      </w:r>
      <w:r w:rsidR="000B21E3">
        <w:rPr>
          <w:rFonts w:hint="cs"/>
          <w:b w:val="0"/>
          <w:bCs w:val="0"/>
          <w:sz w:val="18"/>
          <w:szCs w:val="24"/>
          <w:rtl/>
        </w:rPr>
        <w:t xml:space="preserve">קיימנו ישיבות </w:t>
      </w:r>
      <w:r w:rsidR="001F7FA1">
        <w:rPr>
          <w:rFonts w:hint="cs"/>
          <w:b w:val="0"/>
          <w:bCs w:val="0"/>
          <w:sz w:val="18"/>
          <w:szCs w:val="24"/>
          <w:rtl/>
        </w:rPr>
        <w:t xml:space="preserve">עם </w:t>
      </w:r>
      <w:r w:rsidR="00557EED">
        <w:rPr>
          <w:rFonts w:hint="cs"/>
          <w:b w:val="0"/>
          <w:bCs w:val="0"/>
          <w:sz w:val="18"/>
          <w:szCs w:val="24"/>
          <w:rtl/>
        </w:rPr>
        <w:t xml:space="preserve">נציגי </w:t>
      </w:r>
      <w:r w:rsidR="001F7FA1">
        <w:rPr>
          <w:rFonts w:hint="cs"/>
          <w:b w:val="0"/>
          <w:bCs w:val="0"/>
          <w:sz w:val="18"/>
          <w:szCs w:val="24"/>
          <w:rtl/>
        </w:rPr>
        <w:t xml:space="preserve">מחלקת הייעוץ והחקיקה של משרד המשפטים </w:t>
      </w:r>
      <w:r w:rsidR="00622229">
        <w:rPr>
          <w:rFonts w:hint="cs"/>
          <w:b w:val="0"/>
          <w:bCs w:val="0"/>
          <w:sz w:val="18"/>
          <w:szCs w:val="24"/>
          <w:rtl/>
        </w:rPr>
        <w:t>ועם נציגי משטרת ישראל ו</w:t>
      </w:r>
      <w:r w:rsidR="00FA7138">
        <w:rPr>
          <w:rFonts w:hint="cs"/>
          <w:b w:val="0"/>
          <w:bCs w:val="0"/>
          <w:sz w:val="18"/>
          <w:szCs w:val="24"/>
          <w:rtl/>
        </w:rPr>
        <w:t>מוצע להלן נוסח</w:t>
      </w:r>
      <w:r w:rsidR="00F50194">
        <w:rPr>
          <w:rFonts w:hint="cs"/>
          <w:b w:val="0"/>
          <w:bCs w:val="0"/>
          <w:sz w:val="18"/>
          <w:szCs w:val="24"/>
          <w:rtl/>
        </w:rPr>
        <w:t xml:space="preserve"> מעודכן</w:t>
      </w:r>
      <w:r w:rsidR="00FA7138">
        <w:rPr>
          <w:rFonts w:hint="cs"/>
          <w:b w:val="0"/>
          <w:bCs w:val="0"/>
          <w:sz w:val="18"/>
          <w:szCs w:val="24"/>
          <w:rtl/>
        </w:rPr>
        <w:t xml:space="preserve"> </w:t>
      </w:r>
      <w:r w:rsidR="00F50194">
        <w:rPr>
          <w:rFonts w:hint="cs"/>
          <w:b w:val="0"/>
          <w:bCs w:val="0"/>
          <w:sz w:val="18"/>
          <w:szCs w:val="24"/>
          <w:rtl/>
        </w:rPr>
        <w:t>להצעת החוק שבנדון</w:t>
      </w:r>
      <w:r w:rsidR="004E24B1">
        <w:rPr>
          <w:rFonts w:hint="cs"/>
          <w:b w:val="0"/>
          <w:bCs w:val="0"/>
          <w:sz w:val="18"/>
          <w:szCs w:val="24"/>
          <w:rtl/>
        </w:rPr>
        <w:t>, לפי הנחיות יו"ר הוועדה. הנוסח שלהלן קיבל גם את הסכמתם של השר לביטחון הפנים והמפקח הכללי של המשטרה</w:t>
      </w:r>
      <w:r w:rsidR="00F50194">
        <w:rPr>
          <w:rFonts w:hint="cs"/>
          <w:b w:val="0"/>
          <w:bCs w:val="0"/>
          <w:sz w:val="18"/>
          <w:szCs w:val="24"/>
          <w:rtl/>
        </w:rPr>
        <w:t xml:space="preserve">. </w:t>
      </w:r>
      <w:r w:rsidR="004E24B1">
        <w:rPr>
          <w:rFonts w:hint="cs"/>
          <w:b w:val="0"/>
          <w:bCs w:val="0"/>
          <w:sz w:val="18"/>
          <w:szCs w:val="24"/>
          <w:rtl/>
        </w:rPr>
        <w:t>אנו ממליצות על אישורו שכן הוא מטמיע את ההערות שהעירו חברי הכנסת בדיון הקודם</w:t>
      </w:r>
      <w:r w:rsidR="00E07CC3">
        <w:rPr>
          <w:rFonts w:hint="cs"/>
          <w:b w:val="0"/>
          <w:bCs w:val="0"/>
          <w:sz w:val="18"/>
          <w:szCs w:val="24"/>
          <w:rtl/>
        </w:rPr>
        <w:t>, ויוצר עילת חיפוש מידתית, שתכליתה להגן על ביטחון הציבור</w:t>
      </w:r>
      <w:r w:rsidR="004E24B1">
        <w:rPr>
          <w:rFonts w:hint="cs"/>
          <w:b w:val="0"/>
          <w:bCs w:val="0"/>
          <w:sz w:val="18"/>
          <w:szCs w:val="24"/>
          <w:rtl/>
        </w:rPr>
        <w:t>.</w:t>
      </w:r>
    </w:p>
    <w:p w:rsidR="00557EED" w:rsidRPr="004E24B1" w:rsidRDefault="00557EED" w:rsidP="00557EED">
      <w:pPr>
        <w:pStyle w:val="HeadHatzaotHok"/>
        <w:spacing w:before="0"/>
        <w:jc w:val="both"/>
        <w:rPr>
          <w:sz w:val="18"/>
          <w:szCs w:val="24"/>
          <w:rtl/>
        </w:rPr>
      </w:pPr>
      <w:r w:rsidRPr="004E24B1">
        <w:rPr>
          <w:rFonts w:hint="cs"/>
          <w:sz w:val="18"/>
          <w:szCs w:val="24"/>
          <w:rtl/>
        </w:rPr>
        <w:t>הנוסח כולל טיפול בשני מצבים:</w:t>
      </w:r>
    </w:p>
    <w:p w:rsidR="00B25DCC" w:rsidRDefault="00B25DCC" w:rsidP="00B25DCC">
      <w:pPr>
        <w:pStyle w:val="HeadHatzaotHok"/>
        <w:spacing w:before="0" w:line="240" w:lineRule="auto"/>
        <w:jc w:val="both"/>
        <w:rPr>
          <w:b w:val="0"/>
          <w:bCs w:val="0"/>
          <w:sz w:val="18"/>
          <w:szCs w:val="24"/>
          <w:rtl/>
        </w:rPr>
      </w:pPr>
    </w:p>
    <w:p w:rsidR="008513BC" w:rsidRDefault="00557EED" w:rsidP="00F20F63">
      <w:pPr>
        <w:pStyle w:val="HeadHatzaotHok"/>
        <w:numPr>
          <w:ilvl w:val="0"/>
          <w:numId w:val="9"/>
        </w:numPr>
        <w:spacing w:before="0"/>
        <w:jc w:val="both"/>
        <w:rPr>
          <w:b w:val="0"/>
          <w:bCs w:val="0"/>
          <w:sz w:val="18"/>
          <w:szCs w:val="24"/>
        </w:rPr>
      </w:pPr>
      <w:r w:rsidRPr="008513BC">
        <w:rPr>
          <w:rFonts w:hint="cs"/>
          <w:sz w:val="18"/>
          <w:szCs w:val="24"/>
          <w:u w:val="single"/>
          <w:rtl/>
        </w:rPr>
        <w:t>חיפוש שנועד למנוע אלימות "פלילית"</w:t>
      </w:r>
      <w:r w:rsidRPr="008513BC">
        <w:rPr>
          <w:rFonts w:hint="cs"/>
          <w:b w:val="0"/>
          <w:bCs w:val="0"/>
          <w:sz w:val="18"/>
          <w:szCs w:val="24"/>
          <w:rtl/>
        </w:rPr>
        <w:t xml:space="preserve"> </w:t>
      </w:r>
      <w:r w:rsidR="008513BC" w:rsidRPr="008513BC">
        <w:rPr>
          <w:b w:val="0"/>
          <w:bCs w:val="0"/>
          <w:sz w:val="18"/>
          <w:szCs w:val="24"/>
          <w:rtl/>
        </w:rPr>
        <w:t>–</w:t>
      </w:r>
      <w:r w:rsidRPr="008513BC">
        <w:rPr>
          <w:rFonts w:hint="cs"/>
          <w:b w:val="0"/>
          <w:bCs w:val="0"/>
          <w:sz w:val="18"/>
          <w:szCs w:val="24"/>
          <w:rtl/>
        </w:rPr>
        <w:t xml:space="preserve"> </w:t>
      </w:r>
      <w:r w:rsidR="008513BC" w:rsidRPr="008513BC">
        <w:rPr>
          <w:rFonts w:hint="cs"/>
          <w:b w:val="0"/>
          <w:bCs w:val="0"/>
          <w:sz w:val="18"/>
          <w:szCs w:val="24"/>
          <w:rtl/>
        </w:rPr>
        <w:t xml:space="preserve">אנו מכבדים ובהחלט שותפים למסר שההצעה הממשלתית בקשה להעביר שלפיו יש להרתיע אנשים מלהגיע למקומות ציבוריים </w:t>
      </w:r>
      <w:r w:rsidR="00D97358">
        <w:rPr>
          <w:rFonts w:hint="cs"/>
          <w:b w:val="0"/>
          <w:bCs w:val="0"/>
          <w:sz w:val="18"/>
          <w:szCs w:val="24"/>
          <w:rtl/>
        </w:rPr>
        <w:t xml:space="preserve">כשהם </w:t>
      </w:r>
      <w:r w:rsidR="008513BC" w:rsidRPr="008513BC">
        <w:rPr>
          <w:rFonts w:hint="cs"/>
          <w:b w:val="0"/>
          <w:bCs w:val="0"/>
          <w:sz w:val="18"/>
          <w:szCs w:val="24"/>
          <w:rtl/>
        </w:rPr>
        <w:t>נושאים נשקים וכלים קטלניים שלא כדין. כך סברו גם חברי הכנסת שהתבטאו בדיון הקודם. אלא שהם הסתייגו מהמסר הנוסף שהי</w:t>
      </w:r>
      <w:r w:rsidR="00F20F63">
        <w:rPr>
          <w:rFonts w:hint="cs"/>
          <w:b w:val="0"/>
          <w:bCs w:val="0"/>
          <w:sz w:val="18"/>
          <w:szCs w:val="24"/>
          <w:rtl/>
        </w:rPr>
        <w:t xml:space="preserve">ה בהצעה הממשלתית המקורית, שלפיו </w:t>
      </w:r>
      <w:r w:rsidR="008513BC" w:rsidRPr="008513BC">
        <w:rPr>
          <w:rFonts w:hint="cs"/>
          <w:b w:val="0"/>
          <w:bCs w:val="0"/>
          <w:sz w:val="18"/>
          <w:szCs w:val="24"/>
          <w:rtl/>
        </w:rPr>
        <w:t xml:space="preserve">כל אדם ששוהה במקום בילוי צפוי לחיפוש על גופו, ללא שמתקיים חשד סביר שצפוי ממנו סיכון כלשהו. אנו סבורים שהגענו לנוסח שמשמר את המסר הראשון </w:t>
      </w:r>
      <w:r w:rsidR="008513BC">
        <w:rPr>
          <w:rFonts w:hint="cs"/>
          <w:b w:val="0"/>
          <w:bCs w:val="0"/>
          <w:sz w:val="18"/>
          <w:szCs w:val="24"/>
          <w:rtl/>
        </w:rPr>
        <w:t>ולא השני</w:t>
      </w:r>
      <w:r w:rsidR="002817BD">
        <w:rPr>
          <w:rFonts w:hint="cs"/>
          <w:b w:val="0"/>
          <w:bCs w:val="0"/>
          <w:sz w:val="18"/>
          <w:szCs w:val="24"/>
          <w:rtl/>
        </w:rPr>
        <w:t>,</w:t>
      </w:r>
      <w:r w:rsidR="008513BC">
        <w:rPr>
          <w:rFonts w:hint="cs"/>
          <w:b w:val="0"/>
          <w:bCs w:val="0"/>
          <w:sz w:val="18"/>
          <w:szCs w:val="24"/>
          <w:rtl/>
        </w:rPr>
        <w:t xml:space="preserve"> </w:t>
      </w:r>
      <w:r w:rsidR="008513BC" w:rsidRPr="00E07CC3">
        <w:rPr>
          <w:rFonts w:hint="cs"/>
          <w:b w:val="0"/>
          <w:bCs w:val="0"/>
          <w:sz w:val="18"/>
          <w:szCs w:val="24"/>
          <w:u w:val="single"/>
          <w:rtl/>
        </w:rPr>
        <w:t>ומבהיר מצבים שמצדיקים חיפוש על הגוף בחשד סביר</w:t>
      </w:r>
      <w:r w:rsidR="00B25DCC" w:rsidRPr="00E07CC3">
        <w:rPr>
          <w:rFonts w:hint="cs"/>
          <w:b w:val="0"/>
          <w:bCs w:val="0"/>
          <w:sz w:val="18"/>
          <w:szCs w:val="24"/>
          <w:u w:val="single"/>
          <w:rtl/>
        </w:rPr>
        <w:t>, באופן שייתן למשטרה כלים לפעולה לצורך הגנה על הציבור, אך מתוך התמקדות בסיכון שצפוי מהאדם שעל גופו מחפשים</w:t>
      </w:r>
      <w:r w:rsidR="00B25DCC">
        <w:rPr>
          <w:rFonts w:hint="cs"/>
          <w:b w:val="0"/>
          <w:bCs w:val="0"/>
          <w:sz w:val="18"/>
          <w:szCs w:val="24"/>
          <w:rtl/>
        </w:rPr>
        <w:t xml:space="preserve">. כמובן, עדיין תיוותר </w:t>
      </w:r>
      <w:r w:rsidR="00E07CC3">
        <w:rPr>
          <w:rFonts w:hint="cs"/>
          <w:b w:val="0"/>
          <w:bCs w:val="0"/>
          <w:sz w:val="18"/>
          <w:szCs w:val="24"/>
          <w:rtl/>
        </w:rPr>
        <w:t>במקומה ההוראה שקיימת בחוק היום, ש</w:t>
      </w:r>
      <w:r w:rsidR="00B25DCC">
        <w:rPr>
          <w:rFonts w:hint="cs"/>
          <w:b w:val="0"/>
          <w:bCs w:val="0"/>
          <w:sz w:val="18"/>
          <w:szCs w:val="24"/>
          <w:rtl/>
        </w:rPr>
        <w:t xml:space="preserve">מאפשרת חיפוש </w:t>
      </w:r>
      <w:r w:rsidR="00B25DCC" w:rsidRPr="00E07CC3">
        <w:rPr>
          <w:rFonts w:hint="cs"/>
          <w:b w:val="0"/>
          <w:bCs w:val="0"/>
          <w:sz w:val="18"/>
          <w:szCs w:val="24"/>
          <w:u w:val="single"/>
          <w:rtl/>
        </w:rPr>
        <w:t xml:space="preserve">בכניסה </w:t>
      </w:r>
      <w:r w:rsidR="00B25DCC">
        <w:rPr>
          <w:rFonts w:hint="cs"/>
          <w:b w:val="0"/>
          <w:bCs w:val="0"/>
          <w:sz w:val="18"/>
          <w:szCs w:val="24"/>
          <w:rtl/>
        </w:rPr>
        <w:t>למקומות ציבוריים</w:t>
      </w:r>
      <w:r w:rsidR="002817BD">
        <w:rPr>
          <w:rFonts w:hint="cs"/>
          <w:b w:val="0"/>
          <w:bCs w:val="0"/>
          <w:sz w:val="18"/>
          <w:szCs w:val="24"/>
          <w:rtl/>
        </w:rPr>
        <w:t xml:space="preserve">, </w:t>
      </w:r>
      <w:r w:rsidR="00E07CC3">
        <w:rPr>
          <w:rFonts w:hint="cs"/>
          <w:b w:val="0"/>
          <w:bCs w:val="0"/>
          <w:sz w:val="18"/>
          <w:szCs w:val="24"/>
          <w:rtl/>
        </w:rPr>
        <w:t xml:space="preserve">ללא חשד, </w:t>
      </w:r>
      <w:r w:rsidR="00F20F63">
        <w:rPr>
          <w:rFonts w:hint="cs"/>
          <w:b w:val="0"/>
          <w:bCs w:val="0"/>
          <w:sz w:val="18"/>
          <w:szCs w:val="24"/>
          <w:rtl/>
        </w:rPr>
        <w:t xml:space="preserve">על כל הנכנסים למקום, </w:t>
      </w:r>
      <w:r w:rsidR="002817BD">
        <w:rPr>
          <w:rFonts w:hint="cs"/>
          <w:b w:val="0"/>
          <w:bCs w:val="0"/>
          <w:sz w:val="18"/>
          <w:szCs w:val="24"/>
          <w:rtl/>
        </w:rPr>
        <w:t>למניעת נשיאת נשק</w:t>
      </w:r>
      <w:r w:rsidR="00F20F63">
        <w:rPr>
          <w:rFonts w:hint="cs"/>
          <w:b w:val="0"/>
          <w:bCs w:val="0"/>
          <w:sz w:val="18"/>
          <w:szCs w:val="24"/>
          <w:rtl/>
        </w:rPr>
        <w:t>.</w:t>
      </w:r>
    </w:p>
    <w:p w:rsidR="00B25DCC" w:rsidRDefault="00B25DCC" w:rsidP="00B25DCC">
      <w:pPr>
        <w:pStyle w:val="HeadHatzaotHok"/>
        <w:spacing w:before="0" w:line="240" w:lineRule="auto"/>
        <w:ind w:left="720"/>
        <w:jc w:val="both"/>
        <w:rPr>
          <w:b w:val="0"/>
          <w:bCs w:val="0"/>
          <w:sz w:val="18"/>
          <w:szCs w:val="24"/>
          <w:rtl/>
        </w:rPr>
      </w:pPr>
    </w:p>
    <w:p w:rsidR="00D51CBE" w:rsidRPr="00B25DCC" w:rsidRDefault="00D51CBE" w:rsidP="00B25DCC">
      <w:pPr>
        <w:pStyle w:val="HeadHatzaotHok"/>
        <w:spacing w:before="0" w:line="240" w:lineRule="auto"/>
        <w:ind w:left="720"/>
        <w:jc w:val="both"/>
        <w:rPr>
          <w:b w:val="0"/>
          <w:bCs w:val="0"/>
          <w:sz w:val="18"/>
          <w:szCs w:val="24"/>
        </w:rPr>
      </w:pPr>
    </w:p>
    <w:p w:rsidR="008513BC" w:rsidRPr="008513BC" w:rsidRDefault="008513BC" w:rsidP="00F20F63">
      <w:pPr>
        <w:pStyle w:val="HeadHatzaotHok"/>
        <w:numPr>
          <w:ilvl w:val="0"/>
          <w:numId w:val="9"/>
        </w:numPr>
        <w:spacing w:before="0"/>
        <w:jc w:val="both"/>
        <w:rPr>
          <w:b w:val="0"/>
          <w:bCs w:val="0"/>
          <w:sz w:val="18"/>
          <w:szCs w:val="24"/>
          <w:rtl/>
        </w:rPr>
      </w:pPr>
      <w:r w:rsidRPr="008513BC">
        <w:rPr>
          <w:rFonts w:hint="cs"/>
          <w:sz w:val="18"/>
          <w:szCs w:val="24"/>
          <w:u w:val="single"/>
          <w:rtl/>
        </w:rPr>
        <w:t>חיפוש שנועד למנוע פעילות חבלנית ע</w:t>
      </w:r>
      <w:r w:rsidR="00D97358">
        <w:rPr>
          <w:rFonts w:hint="cs"/>
          <w:sz w:val="18"/>
          <w:szCs w:val="24"/>
          <w:u w:val="single"/>
          <w:rtl/>
        </w:rPr>
        <w:t>וי</w:t>
      </w:r>
      <w:r w:rsidRPr="008513BC">
        <w:rPr>
          <w:rFonts w:hint="cs"/>
          <w:sz w:val="18"/>
          <w:szCs w:val="24"/>
          <w:u w:val="single"/>
          <w:rtl/>
        </w:rPr>
        <w:t>נת</w:t>
      </w:r>
      <w:r w:rsidRPr="008513BC">
        <w:rPr>
          <w:rFonts w:hint="cs"/>
          <w:b w:val="0"/>
          <w:bCs w:val="0"/>
          <w:sz w:val="18"/>
          <w:szCs w:val="24"/>
          <w:rtl/>
        </w:rPr>
        <w:t xml:space="preserve"> </w:t>
      </w:r>
      <w:r w:rsidR="00B25DCC">
        <w:rPr>
          <w:b w:val="0"/>
          <w:bCs w:val="0"/>
          <w:sz w:val="18"/>
          <w:szCs w:val="24"/>
          <w:rtl/>
        </w:rPr>
        <w:t>–</w:t>
      </w:r>
      <w:r w:rsidRPr="008513BC">
        <w:rPr>
          <w:rFonts w:hint="cs"/>
          <w:b w:val="0"/>
          <w:bCs w:val="0"/>
          <w:sz w:val="18"/>
          <w:szCs w:val="24"/>
          <w:rtl/>
        </w:rPr>
        <w:t xml:space="preserve"> </w:t>
      </w:r>
      <w:r w:rsidR="00B25DCC">
        <w:rPr>
          <w:rFonts w:hint="cs"/>
          <w:b w:val="0"/>
          <w:bCs w:val="0"/>
          <w:sz w:val="18"/>
          <w:szCs w:val="24"/>
          <w:rtl/>
        </w:rPr>
        <w:t>כפי שהצענו בדיון הקודם</w:t>
      </w:r>
      <w:r w:rsidR="00F20F63">
        <w:rPr>
          <w:rFonts w:hint="cs"/>
          <w:b w:val="0"/>
          <w:bCs w:val="0"/>
          <w:sz w:val="18"/>
          <w:szCs w:val="24"/>
          <w:rtl/>
        </w:rPr>
        <w:t>,</w:t>
      </w:r>
      <w:r w:rsidR="00B25DCC">
        <w:rPr>
          <w:rFonts w:hint="cs"/>
          <w:b w:val="0"/>
          <w:bCs w:val="0"/>
          <w:sz w:val="18"/>
          <w:szCs w:val="24"/>
          <w:rtl/>
        </w:rPr>
        <w:t xml:space="preserve"> אנו סבורים ש</w:t>
      </w:r>
      <w:r w:rsidR="00F20F63">
        <w:rPr>
          <w:rFonts w:hint="cs"/>
          <w:b w:val="0"/>
          <w:bCs w:val="0"/>
          <w:sz w:val="18"/>
          <w:szCs w:val="24"/>
          <w:rtl/>
        </w:rPr>
        <w:t xml:space="preserve">ניתן לאפשר סמכות </w:t>
      </w:r>
      <w:r w:rsidR="00B25DCC">
        <w:rPr>
          <w:rFonts w:hint="cs"/>
          <w:b w:val="0"/>
          <w:bCs w:val="0"/>
          <w:sz w:val="18"/>
          <w:szCs w:val="24"/>
          <w:rtl/>
        </w:rPr>
        <w:t xml:space="preserve">חיפוש ללא חשד במקום שיוגדר על ידי מפקד המחוז ככזה שקיים לגביו חשש ממשי שעלולה להתבצע בו פעילות חבלנית עוינת. איננו סבורים שניתן לאפיין </w:t>
      </w:r>
      <w:r w:rsidR="002817BD">
        <w:rPr>
          <w:rFonts w:hint="cs"/>
          <w:b w:val="0"/>
          <w:bCs w:val="0"/>
          <w:sz w:val="18"/>
          <w:szCs w:val="24"/>
          <w:rtl/>
        </w:rPr>
        <w:t xml:space="preserve">בחוק </w:t>
      </w:r>
      <w:r w:rsidR="00B25DCC">
        <w:rPr>
          <w:rFonts w:hint="cs"/>
          <w:b w:val="0"/>
          <w:bCs w:val="0"/>
          <w:sz w:val="18"/>
          <w:szCs w:val="24"/>
          <w:rtl/>
        </w:rPr>
        <w:t>התנהגויות מקדימות לפעילות כזו, אך אנו מציעות הוראות לשמירת מ</w:t>
      </w:r>
      <w:r w:rsidR="00D97358">
        <w:rPr>
          <w:rFonts w:hint="cs"/>
          <w:b w:val="0"/>
          <w:bCs w:val="0"/>
          <w:sz w:val="18"/>
          <w:szCs w:val="24"/>
          <w:rtl/>
        </w:rPr>
        <w:t>י</w:t>
      </w:r>
      <w:r w:rsidR="00B25DCC">
        <w:rPr>
          <w:rFonts w:hint="cs"/>
          <w:b w:val="0"/>
          <w:bCs w:val="0"/>
          <w:sz w:val="18"/>
          <w:szCs w:val="24"/>
          <w:rtl/>
        </w:rPr>
        <w:t xml:space="preserve">דתיות ההסדר הן בדרג המאשר </w:t>
      </w:r>
      <w:r w:rsidR="002817BD">
        <w:rPr>
          <w:rFonts w:hint="cs"/>
          <w:b w:val="0"/>
          <w:bCs w:val="0"/>
          <w:sz w:val="18"/>
          <w:szCs w:val="24"/>
          <w:rtl/>
        </w:rPr>
        <w:t xml:space="preserve">לפי </w:t>
      </w:r>
      <w:r w:rsidR="00F20F63">
        <w:rPr>
          <w:rFonts w:hint="cs"/>
          <w:b w:val="0"/>
          <w:bCs w:val="0"/>
          <w:sz w:val="18"/>
          <w:szCs w:val="24"/>
          <w:rtl/>
        </w:rPr>
        <w:t>משך</w:t>
      </w:r>
      <w:r w:rsidR="002817BD">
        <w:rPr>
          <w:rFonts w:hint="cs"/>
          <w:b w:val="0"/>
          <w:bCs w:val="0"/>
          <w:sz w:val="18"/>
          <w:szCs w:val="24"/>
          <w:rtl/>
        </w:rPr>
        <w:t xml:space="preserve"> ההכרזה, </w:t>
      </w:r>
      <w:r w:rsidR="00B25DCC">
        <w:rPr>
          <w:rFonts w:hint="cs"/>
          <w:b w:val="0"/>
          <w:bCs w:val="0"/>
          <w:sz w:val="18"/>
          <w:szCs w:val="24"/>
          <w:rtl/>
        </w:rPr>
        <w:t>הן בדיווח ופיקוח פרלמנטרי</w:t>
      </w:r>
      <w:r w:rsidR="002817BD">
        <w:rPr>
          <w:rFonts w:hint="cs"/>
          <w:b w:val="0"/>
          <w:bCs w:val="0"/>
          <w:sz w:val="18"/>
          <w:szCs w:val="24"/>
          <w:rtl/>
        </w:rPr>
        <w:t>,</w:t>
      </w:r>
      <w:r w:rsidR="00B25DCC">
        <w:rPr>
          <w:rFonts w:hint="cs"/>
          <w:b w:val="0"/>
          <w:bCs w:val="0"/>
          <w:sz w:val="18"/>
          <w:szCs w:val="24"/>
          <w:rtl/>
        </w:rPr>
        <w:t xml:space="preserve"> </w:t>
      </w:r>
      <w:r w:rsidR="002817BD">
        <w:rPr>
          <w:rFonts w:hint="cs"/>
          <w:b w:val="0"/>
          <w:bCs w:val="0"/>
          <w:sz w:val="18"/>
          <w:szCs w:val="24"/>
          <w:rtl/>
        </w:rPr>
        <w:t>הן בקביעה שייקבע נוהל מסודר במשטרה להפעלת הסמכות</w:t>
      </w:r>
      <w:r w:rsidR="00F20F63">
        <w:rPr>
          <w:rFonts w:hint="cs"/>
          <w:b w:val="0"/>
          <w:bCs w:val="0"/>
          <w:sz w:val="18"/>
          <w:szCs w:val="24"/>
          <w:rtl/>
        </w:rPr>
        <w:t>,</w:t>
      </w:r>
      <w:r w:rsidR="002817BD">
        <w:rPr>
          <w:rFonts w:hint="cs"/>
          <w:b w:val="0"/>
          <w:bCs w:val="0"/>
          <w:sz w:val="18"/>
          <w:szCs w:val="24"/>
          <w:rtl/>
        </w:rPr>
        <w:t xml:space="preserve"> והן בקביעת ההוראה כהוראת שעה לשנתיים שתאפשר בחינה של התועלת ואופן השימוש בסמכות.</w:t>
      </w:r>
    </w:p>
    <w:p w:rsidR="000F1705" w:rsidRDefault="000F1705" w:rsidP="005459B4">
      <w:pPr>
        <w:pStyle w:val="HeadHatzaotHok"/>
        <w:spacing w:before="0"/>
        <w:jc w:val="both"/>
        <w:rPr>
          <w:b w:val="0"/>
          <w:bCs w:val="0"/>
          <w:sz w:val="18"/>
          <w:szCs w:val="24"/>
          <w:rtl/>
        </w:rPr>
      </w:pPr>
    </w:p>
    <w:p w:rsidR="00D51CBE" w:rsidRDefault="00D51CBE" w:rsidP="005459B4">
      <w:pPr>
        <w:pStyle w:val="HeadHatzaotHok"/>
        <w:spacing w:before="0"/>
        <w:jc w:val="both"/>
        <w:rPr>
          <w:b w:val="0"/>
          <w:bCs w:val="0"/>
          <w:sz w:val="18"/>
          <w:szCs w:val="24"/>
          <w:rtl/>
        </w:rPr>
      </w:pPr>
    </w:p>
    <w:p w:rsidR="00D51CBE" w:rsidRDefault="00D51CBE" w:rsidP="005459B4">
      <w:pPr>
        <w:pStyle w:val="HeadHatzaotHok"/>
        <w:spacing w:before="0"/>
        <w:jc w:val="both"/>
        <w:rPr>
          <w:b w:val="0"/>
          <w:bCs w:val="0"/>
          <w:sz w:val="18"/>
          <w:szCs w:val="24"/>
          <w:rtl/>
        </w:rPr>
      </w:pPr>
    </w:p>
    <w:p w:rsidR="000F1705" w:rsidRDefault="000F1705" w:rsidP="00D51CBE">
      <w:pPr>
        <w:pStyle w:val="HeadHatzaotHok"/>
        <w:spacing w:before="0"/>
        <w:jc w:val="both"/>
        <w:rPr>
          <w:b w:val="0"/>
          <w:bCs w:val="0"/>
          <w:sz w:val="18"/>
          <w:szCs w:val="24"/>
          <w:rtl/>
        </w:rPr>
      </w:pPr>
      <w:r>
        <w:rPr>
          <w:rFonts w:hint="cs"/>
          <w:b w:val="0"/>
          <w:bCs w:val="0"/>
          <w:sz w:val="18"/>
          <w:szCs w:val="24"/>
          <w:rtl/>
        </w:rPr>
        <w:t xml:space="preserve">עיקרי הנוסח המוצע הם </w:t>
      </w:r>
      <w:r w:rsidR="00BD0470">
        <w:rPr>
          <w:rFonts w:hint="cs"/>
          <w:b w:val="0"/>
          <w:bCs w:val="0"/>
          <w:sz w:val="18"/>
          <w:szCs w:val="24"/>
          <w:rtl/>
        </w:rPr>
        <w:t>אל</w:t>
      </w:r>
      <w:r w:rsidR="00D51CBE">
        <w:rPr>
          <w:rFonts w:hint="cs"/>
          <w:b w:val="0"/>
          <w:bCs w:val="0"/>
          <w:sz w:val="18"/>
          <w:szCs w:val="24"/>
          <w:rtl/>
        </w:rPr>
        <w:t>ה</w:t>
      </w:r>
      <w:r>
        <w:rPr>
          <w:rFonts w:hint="cs"/>
          <w:b w:val="0"/>
          <w:bCs w:val="0"/>
          <w:sz w:val="18"/>
          <w:szCs w:val="24"/>
          <w:rtl/>
        </w:rPr>
        <w:t xml:space="preserve">: </w:t>
      </w:r>
    </w:p>
    <w:p w:rsidR="009116D8" w:rsidRDefault="009116D8" w:rsidP="007D4DEF">
      <w:pPr>
        <w:pStyle w:val="HeadHatzaotHok"/>
        <w:widowControl/>
        <w:numPr>
          <w:ilvl w:val="0"/>
          <w:numId w:val="5"/>
        </w:numPr>
        <w:spacing w:before="0"/>
        <w:ind w:left="714" w:hanging="357"/>
        <w:jc w:val="both"/>
        <w:rPr>
          <w:sz w:val="18"/>
          <w:szCs w:val="24"/>
          <w:u w:val="single"/>
        </w:rPr>
      </w:pPr>
      <w:r>
        <w:rPr>
          <w:rFonts w:hint="cs"/>
          <w:sz w:val="18"/>
          <w:szCs w:val="24"/>
          <w:u w:val="single"/>
          <w:rtl/>
        </w:rPr>
        <w:t xml:space="preserve">מתן סמכות חיפוש במקרה של </w:t>
      </w:r>
      <w:r w:rsidRPr="009116D8">
        <w:rPr>
          <w:rFonts w:hint="cs"/>
          <w:sz w:val="18"/>
          <w:szCs w:val="24"/>
          <w:u w:val="single"/>
          <w:rtl/>
        </w:rPr>
        <w:t xml:space="preserve">חשד </w:t>
      </w:r>
      <w:r w:rsidR="00A47178">
        <w:rPr>
          <w:rFonts w:hint="cs"/>
          <w:sz w:val="18"/>
          <w:szCs w:val="24"/>
          <w:u w:val="single"/>
          <w:rtl/>
        </w:rPr>
        <w:t xml:space="preserve">סביר </w:t>
      </w:r>
      <w:r w:rsidRPr="009116D8">
        <w:rPr>
          <w:rFonts w:hint="cs"/>
          <w:sz w:val="18"/>
          <w:szCs w:val="24"/>
          <w:u w:val="single"/>
          <w:rtl/>
        </w:rPr>
        <w:t>למעשה אלימות</w:t>
      </w:r>
      <w:r w:rsidR="00D51CBE">
        <w:rPr>
          <w:rFonts w:hint="cs"/>
          <w:sz w:val="18"/>
          <w:szCs w:val="24"/>
          <w:u w:val="single"/>
          <w:rtl/>
        </w:rPr>
        <w:t xml:space="preserve"> (עילה "פלילית" רגילה)</w:t>
      </w:r>
      <w:r w:rsidR="00CC4031">
        <w:rPr>
          <w:rFonts w:hint="cs"/>
          <w:sz w:val="18"/>
          <w:szCs w:val="24"/>
          <w:u w:val="single"/>
          <w:rtl/>
        </w:rPr>
        <w:t>:</w:t>
      </w:r>
      <w:r w:rsidRPr="009116D8">
        <w:rPr>
          <w:rFonts w:hint="cs"/>
          <w:sz w:val="18"/>
          <w:szCs w:val="24"/>
          <w:u w:val="single"/>
          <w:rtl/>
        </w:rPr>
        <w:t xml:space="preserve"> </w:t>
      </w:r>
    </w:p>
    <w:p w:rsidR="00D51CBE" w:rsidRDefault="00D51CBE" w:rsidP="00D51CBE">
      <w:pPr>
        <w:pStyle w:val="HeadHatzaotHok"/>
        <w:widowControl/>
        <w:spacing w:before="0" w:line="240" w:lineRule="auto"/>
        <w:ind w:left="714"/>
        <w:jc w:val="both"/>
        <w:rPr>
          <w:sz w:val="18"/>
          <w:szCs w:val="24"/>
          <w:u w:val="single"/>
        </w:rPr>
      </w:pPr>
    </w:p>
    <w:p w:rsidR="00D51CBE" w:rsidRDefault="00F20F63" w:rsidP="00F20F63">
      <w:pPr>
        <w:pStyle w:val="HeadHatzaotHok"/>
        <w:spacing w:before="0"/>
        <w:jc w:val="both"/>
        <w:rPr>
          <w:b w:val="0"/>
          <w:bCs w:val="0"/>
          <w:sz w:val="18"/>
          <w:szCs w:val="24"/>
          <w:rtl/>
        </w:rPr>
      </w:pPr>
      <w:r>
        <w:rPr>
          <w:rFonts w:hint="cs"/>
          <w:b w:val="0"/>
          <w:bCs w:val="0"/>
          <w:sz w:val="18"/>
          <w:szCs w:val="24"/>
          <w:rtl/>
        </w:rPr>
        <w:t xml:space="preserve">עיקר השינוי </w:t>
      </w:r>
      <w:r w:rsidR="00D51CBE">
        <w:rPr>
          <w:rFonts w:hint="cs"/>
          <w:b w:val="0"/>
          <w:bCs w:val="0"/>
          <w:sz w:val="18"/>
          <w:szCs w:val="24"/>
          <w:rtl/>
        </w:rPr>
        <w:t>בנוסח שלהלן</w:t>
      </w:r>
      <w:r>
        <w:rPr>
          <w:rFonts w:hint="cs"/>
          <w:b w:val="0"/>
          <w:bCs w:val="0"/>
          <w:sz w:val="18"/>
          <w:szCs w:val="24"/>
          <w:rtl/>
        </w:rPr>
        <w:t xml:space="preserve"> לעומת ההצעה המקורית הוא</w:t>
      </w:r>
      <w:r w:rsidR="00D51CBE">
        <w:rPr>
          <w:rFonts w:hint="cs"/>
          <w:b w:val="0"/>
          <w:bCs w:val="0"/>
          <w:sz w:val="18"/>
          <w:szCs w:val="24"/>
          <w:rtl/>
        </w:rPr>
        <w:t xml:space="preserve">, </w:t>
      </w:r>
      <w:r>
        <w:rPr>
          <w:rFonts w:hint="cs"/>
          <w:b w:val="0"/>
          <w:bCs w:val="0"/>
          <w:sz w:val="18"/>
          <w:szCs w:val="24"/>
          <w:rtl/>
        </w:rPr>
        <w:t>שכעת לא קיימת עוד</w:t>
      </w:r>
      <w:r w:rsidR="00D51CBE">
        <w:rPr>
          <w:rFonts w:hint="cs"/>
          <w:b w:val="0"/>
          <w:bCs w:val="0"/>
          <w:sz w:val="18"/>
          <w:szCs w:val="24"/>
          <w:rtl/>
        </w:rPr>
        <w:t xml:space="preserve"> הצעה להגדיר מקום מסוים כמקום שמאפשר חיפוש (בעילה פלילית) ללא חשד סביר. חיפוש ללא חשד סביר, רק בשל הימצאותו של אדם במקום מסוים או בשעה מסוימת, מעלה קשיים רבים מדי, עליהם עמדנו בחוות דעתנו מיום כ"ח בחשון התשע"ו (10.11.2015). מצד שני, </w:t>
      </w:r>
      <w:r>
        <w:rPr>
          <w:rFonts w:hint="cs"/>
          <w:b w:val="0"/>
          <w:bCs w:val="0"/>
          <w:sz w:val="18"/>
          <w:szCs w:val="24"/>
          <w:rtl/>
        </w:rPr>
        <w:t xml:space="preserve">מוצע </w:t>
      </w:r>
      <w:r w:rsidR="00D51CBE">
        <w:rPr>
          <w:rFonts w:hint="cs"/>
          <w:b w:val="0"/>
          <w:bCs w:val="0"/>
          <w:sz w:val="18"/>
          <w:szCs w:val="24"/>
          <w:rtl/>
        </w:rPr>
        <w:t xml:space="preserve">להרחיב את עילת החיפוש גם כשהחשד הסביר אינו לנשיאת נשק שלא כדין דווקא, אלא </w:t>
      </w:r>
      <w:r>
        <w:rPr>
          <w:rFonts w:hint="cs"/>
          <w:b w:val="0"/>
          <w:bCs w:val="0"/>
          <w:sz w:val="18"/>
          <w:szCs w:val="24"/>
          <w:rtl/>
        </w:rPr>
        <w:t xml:space="preserve">הוא חשד סביר </w:t>
      </w:r>
      <w:r w:rsidR="00D51CBE">
        <w:rPr>
          <w:rFonts w:hint="cs"/>
          <w:b w:val="0"/>
          <w:bCs w:val="0"/>
          <w:sz w:val="18"/>
          <w:szCs w:val="24"/>
          <w:rtl/>
        </w:rPr>
        <w:t xml:space="preserve">לביצוע עבירת אלימות. </w:t>
      </w:r>
      <w:r w:rsidRPr="00F20F63">
        <w:rPr>
          <w:rFonts w:hint="cs"/>
          <w:b w:val="0"/>
          <w:bCs w:val="0"/>
          <w:sz w:val="18"/>
          <w:szCs w:val="24"/>
          <w:u w:val="single"/>
          <w:rtl/>
        </w:rPr>
        <w:t>מוצע להלן</w:t>
      </w:r>
      <w:r w:rsidR="00D51CBE" w:rsidRPr="00F20F63">
        <w:rPr>
          <w:rFonts w:hint="cs"/>
          <w:b w:val="0"/>
          <w:bCs w:val="0"/>
          <w:sz w:val="18"/>
          <w:szCs w:val="24"/>
          <w:u w:val="single"/>
          <w:rtl/>
        </w:rPr>
        <w:t xml:space="preserve"> להבהיר כי חשד סביר יתקיים גם בנסיבות רחבות יותר  </w:t>
      </w:r>
      <w:r w:rsidR="00D51CBE" w:rsidRPr="00F20F63">
        <w:rPr>
          <w:b w:val="0"/>
          <w:bCs w:val="0"/>
          <w:sz w:val="18"/>
          <w:szCs w:val="24"/>
          <w:u w:val="single"/>
          <w:rtl/>
        </w:rPr>
        <w:t>–</w:t>
      </w:r>
      <w:r w:rsidR="00D51CBE" w:rsidRPr="00F20F63">
        <w:rPr>
          <w:rFonts w:hint="cs"/>
          <w:b w:val="0"/>
          <w:bCs w:val="0"/>
          <w:sz w:val="18"/>
          <w:szCs w:val="24"/>
          <w:u w:val="single"/>
          <w:rtl/>
        </w:rPr>
        <w:t xml:space="preserve"> שעיקרן  התנהגות בריונית במרחב הציבורי</w:t>
      </w:r>
      <w:r w:rsidR="00D51CBE">
        <w:rPr>
          <w:rFonts w:hint="cs"/>
          <w:b w:val="0"/>
          <w:bCs w:val="0"/>
          <w:sz w:val="18"/>
          <w:szCs w:val="24"/>
          <w:rtl/>
        </w:rPr>
        <w:t xml:space="preserve"> </w:t>
      </w:r>
      <w:r w:rsidR="00083B9B" w:rsidRPr="00083B9B">
        <w:rPr>
          <w:rFonts w:hint="cs"/>
          <w:sz w:val="24"/>
          <w:szCs w:val="24"/>
          <w:rtl/>
        </w:rPr>
        <w:t xml:space="preserve"> </w:t>
      </w:r>
      <w:r w:rsidR="00083B9B" w:rsidRPr="00083B9B">
        <w:rPr>
          <w:b w:val="0"/>
          <w:bCs w:val="0"/>
          <w:sz w:val="18"/>
          <w:szCs w:val="24"/>
          <w:rtl/>
        </w:rPr>
        <w:t xml:space="preserve">ובכלל זה </w:t>
      </w:r>
      <w:r w:rsidR="00083B9B">
        <w:rPr>
          <w:rFonts w:hint="cs"/>
          <w:b w:val="0"/>
          <w:bCs w:val="0"/>
          <w:sz w:val="18"/>
          <w:szCs w:val="24"/>
          <w:rtl/>
        </w:rPr>
        <w:t xml:space="preserve">השמעת </w:t>
      </w:r>
      <w:r w:rsidR="00083B9B" w:rsidRPr="00083B9B">
        <w:rPr>
          <w:b w:val="0"/>
          <w:bCs w:val="0"/>
          <w:sz w:val="18"/>
          <w:szCs w:val="24"/>
          <w:rtl/>
        </w:rPr>
        <w:t xml:space="preserve">גידופים </w:t>
      </w:r>
      <w:r w:rsidR="00083B9B" w:rsidRPr="00083B9B">
        <w:rPr>
          <w:rFonts w:hint="cs"/>
          <w:b w:val="0"/>
          <w:bCs w:val="0"/>
          <w:sz w:val="18"/>
          <w:szCs w:val="24"/>
          <w:rtl/>
        </w:rPr>
        <w:t xml:space="preserve">או איומים או </w:t>
      </w:r>
      <w:r w:rsidR="00083B9B">
        <w:rPr>
          <w:rFonts w:hint="cs"/>
          <w:b w:val="0"/>
          <w:bCs w:val="0"/>
          <w:sz w:val="18"/>
          <w:szCs w:val="24"/>
          <w:rtl/>
        </w:rPr>
        <w:t>התנהגות</w:t>
      </w:r>
      <w:r w:rsidR="00083B9B" w:rsidRPr="00083B9B">
        <w:rPr>
          <w:rFonts w:hint="cs"/>
          <w:b w:val="0"/>
          <w:bCs w:val="0"/>
          <w:sz w:val="18"/>
          <w:szCs w:val="24"/>
          <w:rtl/>
        </w:rPr>
        <w:t xml:space="preserve"> מרתיע</w:t>
      </w:r>
      <w:r w:rsidR="00083B9B">
        <w:rPr>
          <w:rFonts w:hint="cs"/>
          <w:b w:val="0"/>
          <w:bCs w:val="0"/>
          <w:sz w:val="18"/>
          <w:szCs w:val="24"/>
          <w:rtl/>
        </w:rPr>
        <w:t>ה</w:t>
      </w:r>
      <w:r w:rsidR="00083B9B" w:rsidRPr="00083B9B">
        <w:rPr>
          <w:rFonts w:hint="cs"/>
          <w:b w:val="0"/>
          <w:bCs w:val="0"/>
          <w:sz w:val="18"/>
          <w:szCs w:val="24"/>
          <w:rtl/>
        </w:rPr>
        <w:t xml:space="preserve"> או מפחיד</w:t>
      </w:r>
      <w:r w:rsidR="00083B9B">
        <w:rPr>
          <w:rFonts w:hint="cs"/>
          <w:b w:val="0"/>
          <w:bCs w:val="0"/>
          <w:sz w:val="18"/>
          <w:szCs w:val="24"/>
          <w:rtl/>
        </w:rPr>
        <w:t>ה</w:t>
      </w:r>
      <w:r w:rsidR="00083B9B" w:rsidRPr="00083B9B">
        <w:rPr>
          <w:rFonts w:hint="cs"/>
          <w:b w:val="0"/>
          <w:bCs w:val="0"/>
          <w:sz w:val="18"/>
          <w:szCs w:val="24"/>
          <w:rtl/>
        </w:rPr>
        <w:t xml:space="preserve"> אחר</w:t>
      </w:r>
      <w:r w:rsidR="00083B9B">
        <w:rPr>
          <w:rFonts w:hint="cs"/>
          <w:b w:val="0"/>
          <w:bCs w:val="0"/>
          <w:sz w:val="18"/>
          <w:szCs w:val="24"/>
          <w:rtl/>
        </w:rPr>
        <w:t>ת</w:t>
      </w:r>
      <w:r>
        <w:rPr>
          <w:rFonts w:hint="cs"/>
          <w:b w:val="0"/>
          <w:bCs w:val="0"/>
          <w:sz w:val="18"/>
          <w:szCs w:val="24"/>
          <w:rtl/>
        </w:rPr>
        <w:t>, שמרתיעה את הציבור משימוש בטוח במרחב הציבורי</w:t>
      </w:r>
      <w:r w:rsidR="00D97358">
        <w:rPr>
          <w:rFonts w:hint="cs"/>
          <w:b w:val="0"/>
          <w:bCs w:val="0"/>
          <w:sz w:val="18"/>
          <w:szCs w:val="24"/>
          <w:rtl/>
        </w:rPr>
        <w:t>.</w:t>
      </w:r>
      <w:r w:rsidR="00D51CBE">
        <w:rPr>
          <w:rFonts w:hint="cs"/>
          <w:b w:val="0"/>
          <w:bCs w:val="0"/>
          <w:sz w:val="18"/>
          <w:szCs w:val="24"/>
          <w:rtl/>
        </w:rPr>
        <w:t xml:space="preserve"> </w:t>
      </w:r>
      <w:r>
        <w:rPr>
          <w:rFonts w:hint="cs"/>
          <w:b w:val="0"/>
          <w:bCs w:val="0"/>
          <w:sz w:val="18"/>
          <w:szCs w:val="24"/>
          <w:u w:val="single"/>
          <w:rtl/>
        </w:rPr>
        <w:t>ההוראה</w:t>
      </w:r>
      <w:r w:rsidR="00D97358" w:rsidRPr="00F20F63">
        <w:rPr>
          <w:rFonts w:hint="cs"/>
          <w:b w:val="0"/>
          <w:bCs w:val="0"/>
          <w:sz w:val="18"/>
          <w:szCs w:val="24"/>
          <w:u w:val="single"/>
          <w:rtl/>
        </w:rPr>
        <w:t xml:space="preserve"> המוצעת ממקדת את סמכות החיפוש</w:t>
      </w:r>
      <w:r w:rsidR="00D51CBE" w:rsidRPr="00F20F63">
        <w:rPr>
          <w:rFonts w:hint="cs"/>
          <w:b w:val="0"/>
          <w:bCs w:val="0"/>
          <w:sz w:val="18"/>
          <w:szCs w:val="24"/>
          <w:u w:val="single"/>
          <w:rtl/>
        </w:rPr>
        <w:t xml:space="preserve"> </w:t>
      </w:r>
      <w:r>
        <w:rPr>
          <w:rFonts w:hint="cs"/>
          <w:b w:val="0"/>
          <w:bCs w:val="0"/>
          <w:sz w:val="18"/>
          <w:szCs w:val="24"/>
          <w:u w:val="single"/>
          <w:rtl/>
        </w:rPr>
        <w:t>כלפי מי</w:t>
      </w:r>
      <w:r w:rsidR="00D51CBE" w:rsidRPr="00F20F63">
        <w:rPr>
          <w:rFonts w:hint="cs"/>
          <w:b w:val="0"/>
          <w:bCs w:val="0"/>
          <w:sz w:val="18"/>
          <w:szCs w:val="24"/>
          <w:u w:val="single"/>
          <w:rtl/>
        </w:rPr>
        <w:t xml:space="preserve"> שהתנהגותו מהווה פוטנציאל כזה</w:t>
      </w:r>
      <w:r w:rsidR="00D51CBE">
        <w:rPr>
          <w:rFonts w:hint="cs"/>
          <w:b w:val="0"/>
          <w:bCs w:val="0"/>
          <w:sz w:val="18"/>
          <w:szCs w:val="24"/>
          <w:rtl/>
        </w:rPr>
        <w:t xml:space="preserve">. </w:t>
      </w:r>
      <w:r w:rsidR="00D51CBE" w:rsidRPr="00F20F63">
        <w:rPr>
          <w:rFonts w:hint="cs"/>
          <w:b w:val="0"/>
          <w:bCs w:val="0"/>
          <w:sz w:val="18"/>
          <w:szCs w:val="24"/>
          <w:u w:val="single"/>
          <w:rtl/>
        </w:rPr>
        <w:t>כשמתקיימת התנהגות כזו, יתאפשר החיפוש בכל מקום ובכל שעה ללא הגבלה למקומות בילוי דווקא או לשעות הפעילות דווקא</w:t>
      </w:r>
      <w:r w:rsidR="00D51CBE">
        <w:rPr>
          <w:rFonts w:hint="cs"/>
          <w:b w:val="0"/>
          <w:bCs w:val="0"/>
          <w:sz w:val="18"/>
          <w:szCs w:val="24"/>
          <w:rtl/>
        </w:rPr>
        <w:t>.</w:t>
      </w:r>
    </w:p>
    <w:p w:rsidR="00D51CBE" w:rsidRPr="009116D8" w:rsidRDefault="00D51CBE" w:rsidP="00D51CBE">
      <w:pPr>
        <w:pStyle w:val="HeadHatzaotHok"/>
        <w:widowControl/>
        <w:spacing w:before="0"/>
        <w:ind w:left="714"/>
        <w:jc w:val="both"/>
        <w:rPr>
          <w:sz w:val="18"/>
          <w:szCs w:val="24"/>
          <w:u w:val="single"/>
          <w:rtl/>
        </w:rPr>
      </w:pPr>
    </w:p>
    <w:p w:rsidR="00BE317A" w:rsidRDefault="00A47178" w:rsidP="007D4DEF">
      <w:pPr>
        <w:pStyle w:val="HeadHatzaotHok"/>
        <w:widowControl/>
        <w:numPr>
          <w:ilvl w:val="0"/>
          <w:numId w:val="4"/>
        </w:numPr>
        <w:spacing w:before="0"/>
        <w:ind w:left="714" w:hanging="357"/>
        <w:jc w:val="both"/>
        <w:rPr>
          <w:b w:val="0"/>
          <w:bCs w:val="0"/>
          <w:sz w:val="18"/>
          <w:szCs w:val="24"/>
        </w:rPr>
      </w:pPr>
      <w:r>
        <w:rPr>
          <w:rFonts w:hint="cs"/>
          <w:b w:val="0"/>
          <w:bCs w:val="0"/>
          <w:sz w:val="18"/>
          <w:szCs w:val="24"/>
          <w:rtl/>
        </w:rPr>
        <w:t xml:space="preserve">מוצע לאשר את הצעת הממשלה להרחבת </w:t>
      </w:r>
      <w:r w:rsidR="00BE317A">
        <w:rPr>
          <w:rFonts w:hint="cs"/>
          <w:b w:val="0"/>
          <w:bCs w:val="0"/>
          <w:sz w:val="18"/>
          <w:szCs w:val="24"/>
          <w:rtl/>
        </w:rPr>
        <w:t xml:space="preserve">סמכות </w:t>
      </w:r>
      <w:r>
        <w:rPr>
          <w:rFonts w:hint="cs"/>
          <w:b w:val="0"/>
          <w:bCs w:val="0"/>
          <w:sz w:val="18"/>
          <w:szCs w:val="24"/>
          <w:rtl/>
        </w:rPr>
        <w:t>ה</w:t>
      </w:r>
      <w:r w:rsidR="000F1705">
        <w:rPr>
          <w:rFonts w:hint="cs"/>
          <w:b w:val="0"/>
          <w:bCs w:val="0"/>
          <w:sz w:val="18"/>
          <w:szCs w:val="24"/>
          <w:rtl/>
        </w:rPr>
        <w:t xml:space="preserve">חיפוש </w:t>
      </w:r>
      <w:r w:rsidR="00807075">
        <w:rPr>
          <w:rFonts w:hint="cs"/>
          <w:b w:val="0"/>
          <w:bCs w:val="0"/>
          <w:sz w:val="18"/>
          <w:szCs w:val="24"/>
          <w:rtl/>
        </w:rPr>
        <w:t xml:space="preserve">להימצאותו של כלי נשק, </w:t>
      </w:r>
      <w:r>
        <w:rPr>
          <w:rFonts w:hint="cs"/>
          <w:b w:val="0"/>
          <w:bCs w:val="0"/>
          <w:sz w:val="18"/>
          <w:szCs w:val="24"/>
          <w:rtl/>
        </w:rPr>
        <w:t>לא רק ל</w:t>
      </w:r>
      <w:r w:rsidR="00293346">
        <w:rPr>
          <w:rFonts w:hint="cs"/>
          <w:b w:val="0"/>
          <w:bCs w:val="0"/>
          <w:sz w:val="18"/>
          <w:szCs w:val="24"/>
          <w:rtl/>
        </w:rPr>
        <w:t xml:space="preserve">מקרה של חשד </w:t>
      </w:r>
      <w:r>
        <w:rPr>
          <w:rFonts w:hint="cs"/>
          <w:b w:val="0"/>
          <w:bCs w:val="0"/>
          <w:sz w:val="18"/>
          <w:szCs w:val="24"/>
          <w:rtl/>
        </w:rPr>
        <w:t xml:space="preserve">סביר </w:t>
      </w:r>
      <w:r w:rsidR="00293346">
        <w:rPr>
          <w:rFonts w:hint="cs"/>
          <w:b w:val="0"/>
          <w:bCs w:val="0"/>
          <w:sz w:val="18"/>
          <w:szCs w:val="24"/>
          <w:rtl/>
        </w:rPr>
        <w:t>לאחזקת נשק שלא כדין או שימוש בו</w:t>
      </w:r>
      <w:r w:rsidR="003814CF">
        <w:rPr>
          <w:rFonts w:hint="cs"/>
          <w:b w:val="0"/>
          <w:bCs w:val="0"/>
          <w:sz w:val="18"/>
          <w:szCs w:val="24"/>
          <w:rtl/>
        </w:rPr>
        <w:t>, כפי שקבוע היום בחוק,</w:t>
      </w:r>
      <w:r w:rsidR="00293346">
        <w:rPr>
          <w:rFonts w:hint="cs"/>
          <w:b w:val="0"/>
          <w:bCs w:val="0"/>
          <w:sz w:val="18"/>
          <w:szCs w:val="24"/>
          <w:rtl/>
        </w:rPr>
        <w:t xml:space="preserve"> אלא </w:t>
      </w:r>
      <w:r w:rsidR="000F1705">
        <w:rPr>
          <w:rFonts w:hint="cs"/>
          <w:b w:val="0"/>
          <w:bCs w:val="0"/>
          <w:sz w:val="18"/>
          <w:szCs w:val="24"/>
          <w:rtl/>
        </w:rPr>
        <w:t xml:space="preserve">גם כאשר ישנו </w:t>
      </w:r>
      <w:r w:rsidR="005043E9">
        <w:rPr>
          <w:rFonts w:hint="cs"/>
          <w:b w:val="0"/>
          <w:bCs w:val="0"/>
          <w:sz w:val="18"/>
          <w:szCs w:val="24"/>
          <w:rtl/>
        </w:rPr>
        <w:t>חשד</w:t>
      </w:r>
      <w:r>
        <w:rPr>
          <w:rFonts w:hint="cs"/>
          <w:b w:val="0"/>
          <w:bCs w:val="0"/>
          <w:sz w:val="18"/>
          <w:szCs w:val="24"/>
          <w:rtl/>
        </w:rPr>
        <w:t xml:space="preserve"> סביר</w:t>
      </w:r>
      <w:r w:rsidR="005043E9">
        <w:rPr>
          <w:rFonts w:hint="cs"/>
          <w:b w:val="0"/>
          <w:bCs w:val="0"/>
          <w:sz w:val="18"/>
          <w:szCs w:val="24"/>
          <w:rtl/>
        </w:rPr>
        <w:t xml:space="preserve"> </w:t>
      </w:r>
      <w:r w:rsidR="000F1705">
        <w:rPr>
          <w:rFonts w:hint="cs"/>
          <w:b w:val="0"/>
          <w:bCs w:val="0"/>
          <w:sz w:val="18"/>
          <w:szCs w:val="24"/>
          <w:rtl/>
        </w:rPr>
        <w:t>לביצוע עבירת אלימות</w:t>
      </w:r>
      <w:r w:rsidR="00293346">
        <w:rPr>
          <w:rFonts w:hint="cs"/>
          <w:b w:val="0"/>
          <w:bCs w:val="0"/>
          <w:sz w:val="18"/>
          <w:szCs w:val="24"/>
          <w:rtl/>
        </w:rPr>
        <w:t xml:space="preserve"> כלשהי </w:t>
      </w:r>
      <w:r w:rsidR="00896648">
        <w:rPr>
          <w:rFonts w:hint="cs"/>
          <w:b w:val="0"/>
          <w:bCs w:val="0"/>
          <w:sz w:val="18"/>
          <w:szCs w:val="24"/>
          <w:rtl/>
        </w:rPr>
        <w:t>אף אם אינה חמורה</w:t>
      </w:r>
      <w:r w:rsidR="00CD4C31">
        <w:rPr>
          <w:rFonts w:hint="cs"/>
          <w:b w:val="0"/>
          <w:bCs w:val="0"/>
          <w:sz w:val="18"/>
          <w:szCs w:val="24"/>
          <w:rtl/>
        </w:rPr>
        <w:t>.</w:t>
      </w:r>
      <w:r w:rsidR="00896648">
        <w:rPr>
          <w:rFonts w:hint="cs"/>
          <w:b w:val="0"/>
          <w:bCs w:val="0"/>
          <w:sz w:val="18"/>
          <w:szCs w:val="24"/>
          <w:rtl/>
        </w:rPr>
        <w:t xml:space="preserve"> </w:t>
      </w:r>
      <w:r w:rsidR="00CD4C31">
        <w:rPr>
          <w:rFonts w:hint="cs"/>
          <w:b w:val="0"/>
          <w:bCs w:val="0"/>
          <w:sz w:val="18"/>
          <w:szCs w:val="24"/>
          <w:rtl/>
        </w:rPr>
        <w:t xml:space="preserve">זאת </w:t>
      </w:r>
      <w:r w:rsidR="00896648">
        <w:rPr>
          <w:rFonts w:hint="cs"/>
          <w:b w:val="0"/>
          <w:bCs w:val="0"/>
          <w:sz w:val="18"/>
          <w:szCs w:val="24"/>
          <w:rtl/>
        </w:rPr>
        <w:t>מתוך תפישה שגם קטטה או תגרה יכולות להתפתח</w:t>
      </w:r>
      <w:r w:rsidR="00F25362">
        <w:rPr>
          <w:rFonts w:hint="cs"/>
          <w:b w:val="0"/>
          <w:bCs w:val="0"/>
          <w:sz w:val="18"/>
          <w:szCs w:val="24"/>
          <w:rtl/>
        </w:rPr>
        <w:t xml:space="preserve"> למעשה חמור בהרבה אם מי מהצדדים</w:t>
      </w:r>
      <w:r w:rsidR="00670D91">
        <w:rPr>
          <w:rFonts w:hint="cs"/>
          <w:b w:val="0"/>
          <w:bCs w:val="0"/>
          <w:sz w:val="18"/>
          <w:szCs w:val="24"/>
          <w:rtl/>
        </w:rPr>
        <w:t xml:space="preserve"> נושא נשק</w:t>
      </w:r>
      <w:r w:rsidR="00BE317A">
        <w:rPr>
          <w:rFonts w:hint="cs"/>
          <w:b w:val="0"/>
          <w:bCs w:val="0"/>
          <w:sz w:val="18"/>
          <w:szCs w:val="24"/>
          <w:rtl/>
        </w:rPr>
        <w:t>.</w:t>
      </w:r>
      <w:r w:rsidR="00670D91">
        <w:rPr>
          <w:rFonts w:hint="cs"/>
          <w:b w:val="0"/>
          <w:bCs w:val="0"/>
          <w:sz w:val="18"/>
          <w:szCs w:val="24"/>
          <w:rtl/>
        </w:rPr>
        <w:t xml:space="preserve"> </w:t>
      </w:r>
      <w:r w:rsidR="00D51CBE">
        <w:rPr>
          <w:rFonts w:hint="cs"/>
          <w:b w:val="0"/>
          <w:bCs w:val="0"/>
          <w:sz w:val="18"/>
          <w:szCs w:val="24"/>
          <w:rtl/>
        </w:rPr>
        <w:t>אנו מציעות לשמר את הביטוי "חשד סביר" שפורש בפסיקה ככולל יסודות סובייקטיביים ואובייקטיביים</w:t>
      </w:r>
      <w:r w:rsidR="00D97358">
        <w:rPr>
          <w:rFonts w:hint="cs"/>
          <w:b w:val="0"/>
          <w:bCs w:val="0"/>
          <w:sz w:val="18"/>
          <w:szCs w:val="24"/>
          <w:rtl/>
        </w:rPr>
        <w:t>, ושתכניו ברורים</w:t>
      </w:r>
      <w:r w:rsidR="00D51CBE">
        <w:rPr>
          <w:rFonts w:hint="cs"/>
          <w:b w:val="0"/>
          <w:bCs w:val="0"/>
          <w:sz w:val="18"/>
          <w:szCs w:val="24"/>
          <w:rtl/>
        </w:rPr>
        <w:t>.</w:t>
      </w:r>
    </w:p>
    <w:p w:rsidR="00D51CBE" w:rsidRDefault="00D51CBE" w:rsidP="00D51CBE">
      <w:pPr>
        <w:pStyle w:val="HeadHatzaotHok"/>
        <w:widowControl/>
        <w:spacing w:before="0"/>
        <w:ind w:left="714"/>
        <w:jc w:val="both"/>
        <w:rPr>
          <w:b w:val="0"/>
          <w:bCs w:val="0"/>
          <w:sz w:val="18"/>
          <w:szCs w:val="24"/>
        </w:rPr>
      </w:pPr>
    </w:p>
    <w:p w:rsidR="007F1039" w:rsidRDefault="00670D91" w:rsidP="005D5AD4">
      <w:pPr>
        <w:pStyle w:val="HeadHatzaotHok"/>
        <w:numPr>
          <w:ilvl w:val="0"/>
          <w:numId w:val="4"/>
        </w:numPr>
        <w:spacing w:before="0"/>
        <w:jc w:val="both"/>
        <w:rPr>
          <w:b w:val="0"/>
          <w:bCs w:val="0"/>
          <w:sz w:val="24"/>
          <w:szCs w:val="24"/>
        </w:rPr>
      </w:pPr>
      <w:r>
        <w:rPr>
          <w:rFonts w:hint="cs"/>
          <w:b w:val="0"/>
          <w:bCs w:val="0"/>
          <w:sz w:val="18"/>
          <w:szCs w:val="24"/>
          <w:rtl/>
        </w:rPr>
        <w:t>בנוסף</w:t>
      </w:r>
      <w:r w:rsidR="00D51CBE">
        <w:rPr>
          <w:rFonts w:hint="cs"/>
          <w:b w:val="0"/>
          <w:bCs w:val="0"/>
          <w:sz w:val="18"/>
          <w:szCs w:val="24"/>
          <w:rtl/>
        </w:rPr>
        <w:t>,</w:t>
      </w:r>
      <w:r>
        <w:rPr>
          <w:rFonts w:hint="cs"/>
          <w:b w:val="0"/>
          <w:bCs w:val="0"/>
          <w:sz w:val="18"/>
          <w:szCs w:val="24"/>
          <w:rtl/>
        </w:rPr>
        <w:t xml:space="preserve"> </w:t>
      </w:r>
      <w:r w:rsidR="00530F1E" w:rsidRPr="00293346">
        <w:rPr>
          <w:rFonts w:hint="cs"/>
          <w:b w:val="0"/>
          <w:bCs w:val="0"/>
          <w:sz w:val="18"/>
          <w:szCs w:val="24"/>
          <w:rtl/>
        </w:rPr>
        <w:t xml:space="preserve">מוצע </w:t>
      </w:r>
      <w:r>
        <w:rPr>
          <w:rFonts w:hint="cs"/>
          <w:b w:val="0"/>
          <w:bCs w:val="0"/>
          <w:sz w:val="18"/>
          <w:szCs w:val="24"/>
          <w:rtl/>
        </w:rPr>
        <w:t>לקבוע בחוק נס</w:t>
      </w:r>
      <w:r w:rsidR="00F20F63">
        <w:rPr>
          <w:rFonts w:hint="cs"/>
          <w:b w:val="0"/>
          <w:bCs w:val="0"/>
          <w:sz w:val="18"/>
          <w:szCs w:val="24"/>
          <w:rtl/>
        </w:rPr>
        <w:t>יבות טיפוסיות (ולא ממצות) שבהתקי</w:t>
      </w:r>
      <w:r>
        <w:rPr>
          <w:rFonts w:hint="cs"/>
          <w:b w:val="0"/>
          <w:bCs w:val="0"/>
          <w:sz w:val="18"/>
          <w:szCs w:val="24"/>
          <w:rtl/>
        </w:rPr>
        <w:t>ימ</w:t>
      </w:r>
      <w:r w:rsidR="00F20F63">
        <w:rPr>
          <w:rFonts w:hint="cs"/>
          <w:b w:val="0"/>
          <w:bCs w:val="0"/>
          <w:sz w:val="18"/>
          <w:szCs w:val="24"/>
          <w:rtl/>
        </w:rPr>
        <w:t>ות</w:t>
      </w:r>
      <w:r w:rsidR="00D97358">
        <w:rPr>
          <w:rFonts w:hint="cs"/>
          <w:b w:val="0"/>
          <w:bCs w:val="0"/>
          <w:sz w:val="18"/>
          <w:szCs w:val="24"/>
          <w:rtl/>
        </w:rPr>
        <w:t>ן</w:t>
      </w:r>
      <w:r>
        <w:rPr>
          <w:rFonts w:hint="cs"/>
          <w:b w:val="0"/>
          <w:bCs w:val="0"/>
          <w:sz w:val="18"/>
          <w:szCs w:val="24"/>
          <w:rtl/>
        </w:rPr>
        <w:t xml:space="preserve"> יראו את המצב כמקים </w:t>
      </w:r>
      <w:r w:rsidR="00530F1E" w:rsidRPr="00293346">
        <w:rPr>
          <w:rFonts w:hint="cs"/>
          <w:b w:val="0"/>
          <w:bCs w:val="0"/>
          <w:sz w:val="18"/>
          <w:szCs w:val="24"/>
          <w:rtl/>
        </w:rPr>
        <w:t>חשד סביר</w:t>
      </w:r>
      <w:r w:rsidR="00530F1E" w:rsidRPr="00530F1E">
        <w:rPr>
          <w:rFonts w:hint="cs"/>
          <w:b w:val="0"/>
          <w:bCs w:val="0"/>
          <w:sz w:val="24"/>
          <w:szCs w:val="24"/>
          <w:rtl/>
        </w:rPr>
        <w:t xml:space="preserve"> </w:t>
      </w:r>
      <w:r w:rsidR="00530F1E">
        <w:rPr>
          <w:rFonts w:hint="cs"/>
          <w:b w:val="0"/>
          <w:bCs w:val="0"/>
          <w:sz w:val="24"/>
          <w:szCs w:val="24"/>
          <w:rtl/>
        </w:rPr>
        <w:t>ל</w:t>
      </w:r>
      <w:r w:rsidR="00D51CBE">
        <w:rPr>
          <w:rFonts w:hint="cs"/>
          <w:b w:val="0"/>
          <w:bCs w:val="0"/>
          <w:sz w:val="24"/>
          <w:szCs w:val="24"/>
          <w:rtl/>
        </w:rPr>
        <w:t>ביצוע עבירת</w:t>
      </w:r>
      <w:r w:rsidR="00530F1E">
        <w:rPr>
          <w:rFonts w:hint="cs"/>
          <w:b w:val="0"/>
          <w:bCs w:val="0"/>
          <w:sz w:val="24"/>
          <w:szCs w:val="24"/>
          <w:rtl/>
        </w:rPr>
        <w:t xml:space="preserve"> אלימות</w:t>
      </w:r>
      <w:r w:rsidR="00530F1E" w:rsidRPr="00293346">
        <w:rPr>
          <w:rFonts w:hint="cs"/>
          <w:b w:val="0"/>
          <w:bCs w:val="0"/>
          <w:sz w:val="18"/>
          <w:szCs w:val="24"/>
          <w:rtl/>
        </w:rPr>
        <w:t xml:space="preserve">. </w:t>
      </w:r>
      <w:r w:rsidR="00F20F63">
        <w:rPr>
          <w:rFonts w:hint="cs"/>
          <w:b w:val="0"/>
          <w:bCs w:val="0"/>
          <w:sz w:val="18"/>
          <w:szCs w:val="24"/>
          <w:rtl/>
        </w:rPr>
        <w:t>סמכות החיפוש ת</w:t>
      </w:r>
      <w:r>
        <w:rPr>
          <w:rFonts w:hint="cs"/>
          <w:b w:val="0"/>
          <w:bCs w:val="0"/>
          <w:sz w:val="18"/>
          <w:szCs w:val="24"/>
          <w:rtl/>
        </w:rPr>
        <w:t xml:space="preserve">תמקד באנשים שהתנהגותם במקום ציבורי </w:t>
      </w:r>
      <w:r w:rsidR="00252C38" w:rsidRPr="00293346">
        <w:rPr>
          <w:rFonts w:hint="cs"/>
          <w:b w:val="0"/>
          <w:bCs w:val="0"/>
          <w:sz w:val="18"/>
          <w:szCs w:val="24"/>
          <w:rtl/>
        </w:rPr>
        <w:t>בריונית</w:t>
      </w:r>
      <w:r w:rsidR="00B50A22">
        <w:rPr>
          <w:rFonts w:hint="cs"/>
          <w:b w:val="0"/>
          <w:bCs w:val="0"/>
          <w:sz w:val="18"/>
          <w:szCs w:val="24"/>
          <w:rtl/>
        </w:rPr>
        <w:t xml:space="preserve"> (לרבות גידופים או איומים)</w:t>
      </w:r>
      <w:r w:rsidR="00252C38" w:rsidRPr="00293346">
        <w:rPr>
          <w:rFonts w:hint="cs"/>
          <w:b w:val="0"/>
          <w:bCs w:val="0"/>
          <w:sz w:val="18"/>
          <w:szCs w:val="24"/>
          <w:rtl/>
        </w:rPr>
        <w:t xml:space="preserve">, </w:t>
      </w:r>
      <w:r w:rsidR="00B50A22">
        <w:rPr>
          <w:rFonts w:hint="cs"/>
          <w:b w:val="0"/>
          <w:bCs w:val="0"/>
          <w:sz w:val="18"/>
          <w:szCs w:val="24"/>
          <w:rtl/>
        </w:rPr>
        <w:t>או מפרה את הסדר באופן שעלול ליצור הרתעה או הפחדה</w:t>
      </w:r>
      <w:r w:rsidR="00D04C20">
        <w:rPr>
          <w:rFonts w:hint="cs"/>
          <w:b w:val="0"/>
          <w:bCs w:val="0"/>
          <w:sz w:val="18"/>
          <w:szCs w:val="24"/>
          <w:rtl/>
        </w:rPr>
        <w:t xml:space="preserve">. </w:t>
      </w:r>
      <w:r w:rsidR="00F20F63">
        <w:rPr>
          <w:rFonts w:hint="cs"/>
          <w:b w:val="0"/>
          <w:bCs w:val="0"/>
          <w:sz w:val="24"/>
          <w:szCs w:val="24"/>
          <w:rtl/>
        </w:rPr>
        <w:t>מקרה טיפוסי הוא התפרעות תחת השפעת אלכוהול או חומרים מסכנים</w:t>
      </w:r>
      <w:r w:rsidR="001F2C9A" w:rsidRPr="00293346">
        <w:rPr>
          <w:rFonts w:hint="cs"/>
          <w:b w:val="0"/>
          <w:bCs w:val="0"/>
          <w:sz w:val="24"/>
          <w:szCs w:val="24"/>
          <w:rtl/>
        </w:rPr>
        <w:t xml:space="preserve">, </w:t>
      </w:r>
      <w:r w:rsidR="00F20F63">
        <w:rPr>
          <w:rFonts w:hint="cs"/>
          <w:b w:val="0"/>
          <w:bCs w:val="0"/>
          <w:sz w:val="24"/>
          <w:szCs w:val="24"/>
          <w:rtl/>
        </w:rPr>
        <w:t>השתלטות על המרחב הציבורי בהתנהגות בריונית שמפריעה את שלוות הציבור (כגון בערבי שישי בגינות ציבוריות)</w:t>
      </w:r>
      <w:r w:rsidR="00782C4B">
        <w:rPr>
          <w:rFonts w:hint="cs"/>
          <w:b w:val="0"/>
          <w:bCs w:val="0"/>
          <w:sz w:val="24"/>
          <w:szCs w:val="24"/>
          <w:rtl/>
        </w:rPr>
        <w:t xml:space="preserve">, או דין ודברים מאיים אחרי שסדרנים הרחיקו בריונים ממקומות ציבוריים, גם אם </w:t>
      </w:r>
      <w:r w:rsidR="005D5AD4">
        <w:rPr>
          <w:rFonts w:hint="cs"/>
          <w:b w:val="0"/>
          <w:bCs w:val="0"/>
          <w:sz w:val="24"/>
          <w:szCs w:val="24"/>
          <w:rtl/>
        </w:rPr>
        <w:t>הוויכוח עבר</w:t>
      </w:r>
      <w:r w:rsidR="00782C4B">
        <w:rPr>
          <w:rFonts w:hint="cs"/>
          <w:b w:val="0"/>
          <w:bCs w:val="0"/>
          <w:sz w:val="24"/>
          <w:szCs w:val="24"/>
          <w:rtl/>
        </w:rPr>
        <w:t xml:space="preserve"> למקום אחר.</w:t>
      </w:r>
      <w:r w:rsidR="00F20F63">
        <w:rPr>
          <w:rFonts w:hint="cs"/>
          <w:b w:val="0"/>
          <w:bCs w:val="0"/>
          <w:sz w:val="24"/>
          <w:szCs w:val="24"/>
          <w:rtl/>
        </w:rPr>
        <w:t xml:space="preserve"> </w:t>
      </w:r>
      <w:r w:rsidR="00782C4B">
        <w:rPr>
          <w:rFonts w:hint="cs"/>
          <w:b w:val="0"/>
          <w:bCs w:val="0"/>
          <w:sz w:val="24"/>
          <w:szCs w:val="24"/>
          <w:rtl/>
        </w:rPr>
        <w:t xml:space="preserve">לעומת זאת, הפרת סדר גרידא, </w:t>
      </w:r>
      <w:r w:rsidR="001F2C9A" w:rsidRPr="007F1039">
        <w:rPr>
          <w:rFonts w:hint="cs"/>
          <w:b w:val="0"/>
          <w:bCs w:val="0"/>
          <w:sz w:val="24"/>
          <w:szCs w:val="24"/>
          <w:rtl/>
        </w:rPr>
        <w:t>כגון במסיבת רחוב או בהפגנה</w:t>
      </w:r>
      <w:r w:rsidR="00F05631" w:rsidRPr="007F1039">
        <w:rPr>
          <w:rFonts w:hint="cs"/>
          <w:b w:val="0"/>
          <w:bCs w:val="0"/>
          <w:sz w:val="24"/>
          <w:szCs w:val="24"/>
          <w:rtl/>
        </w:rPr>
        <w:t xml:space="preserve"> </w:t>
      </w:r>
      <w:r w:rsidR="00D04C20" w:rsidRPr="007F1039">
        <w:rPr>
          <w:rFonts w:hint="cs"/>
          <w:b w:val="0"/>
          <w:bCs w:val="0"/>
          <w:sz w:val="24"/>
          <w:szCs w:val="24"/>
          <w:rtl/>
        </w:rPr>
        <w:t xml:space="preserve">אין בה כשלעצמה משום </w:t>
      </w:r>
      <w:r w:rsidR="001F2C9A" w:rsidRPr="007F1039">
        <w:rPr>
          <w:rFonts w:hint="cs"/>
          <w:b w:val="0"/>
          <w:bCs w:val="0"/>
          <w:sz w:val="24"/>
          <w:szCs w:val="24"/>
          <w:rtl/>
        </w:rPr>
        <w:t>יצירת אותו חשד סביר</w:t>
      </w:r>
      <w:r w:rsidR="00782C4B">
        <w:rPr>
          <w:rFonts w:hint="cs"/>
          <w:b w:val="0"/>
          <w:bCs w:val="0"/>
          <w:sz w:val="24"/>
          <w:szCs w:val="24"/>
          <w:rtl/>
        </w:rPr>
        <w:t xml:space="preserve"> אלא אם כן</w:t>
      </w:r>
      <w:r w:rsidR="00D04C20" w:rsidRPr="007F1039">
        <w:rPr>
          <w:rFonts w:hint="cs"/>
          <w:b w:val="0"/>
          <w:bCs w:val="0"/>
          <w:sz w:val="18"/>
          <w:szCs w:val="24"/>
          <w:rtl/>
        </w:rPr>
        <w:t xml:space="preserve"> מי שמתפרע או מפר את הסדר </w:t>
      </w:r>
      <w:r w:rsidR="00782C4B">
        <w:rPr>
          <w:rFonts w:hint="cs"/>
          <w:b w:val="0"/>
          <w:bCs w:val="0"/>
          <w:sz w:val="18"/>
          <w:szCs w:val="24"/>
          <w:rtl/>
        </w:rPr>
        <w:t xml:space="preserve">עושה זאת </w:t>
      </w:r>
      <w:r w:rsidR="00D04C20" w:rsidRPr="007F1039">
        <w:rPr>
          <w:rFonts w:hint="cs"/>
          <w:b w:val="0"/>
          <w:bCs w:val="0"/>
          <w:sz w:val="18"/>
          <w:szCs w:val="24"/>
          <w:rtl/>
        </w:rPr>
        <w:t xml:space="preserve">באופן שיוצר הפחדה </w:t>
      </w:r>
      <w:r w:rsidR="00782C4B">
        <w:rPr>
          <w:rFonts w:hint="cs"/>
          <w:b w:val="0"/>
          <w:bCs w:val="0"/>
          <w:sz w:val="18"/>
          <w:szCs w:val="24"/>
          <w:rtl/>
        </w:rPr>
        <w:t>או הרתעה כלפי ה</w:t>
      </w:r>
      <w:r w:rsidR="00D04C20" w:rsidRPr="007F1039">
        <w:rPr>
          <w:rFonts w:hint="cs"/>
          <w:b w:val="0"/>
          <w:bCs w:val="0"/>
          <w:sz w:val="18"/>
          <w:szCs w:val="24"/>
          <w:rtl/>
        </w:rPr>
        <w:t>ציבור</w:t>
      </w:r>
      <w:r w:rsidR="00782C4B">
        <w:rPr>
          <w:rFonts w:hint="cs"/>
          <w:b w:val="0"/>
          <w:bCs w:val="0"/>
          <w:sz w:val="18"/>
          <w:szCs w:val="24"/>
          <w:rtl/>
        </w:rPr>
        <w:t>. אז הוא</w:t>
      </w:r>
      <w:r w:rsidR="00D04C20" w:rsidRPr="007F1039">
        <w:rPr>
          <w:rFonts w:hint="cs"/>
          <w:b w:val="0"/>
          <w:bCs w:val="0"/>
          <w:sz w:val="18"/>
          <w:szCs w:val="24"/>
          <w:rtl/>
        </w:rPr>
        <w:t xml:space="preserve"> מעיד על עצמו שהוא מהווה סכנה </w:t>
      </w:r>
      <w:r w:rsidR="005D5AD4">
        <w:rPr>
          <w:rFonts w:hint="cs"/>
          <w:b w:val="0"/>
          <w:bCs w:val="0"/>
          <w:sz w:val="18"/>
          <w:szCs w:val="24"/>
          <w:rtl/>
        </w:rPr>
        <w:t xml:space="preserve">לציבור </w:t>
      </w:r>
      <w:r w:rsidR="00D04C20" w:rsidRPr="007F1039">
        <w:rPr>
          <w:rFonts w:hint="cs"/>
          <w:b w:val="0"/>
          <w:bCs w:val="0"/>
          <w:sz w:val="18"/>
          <w:szCs w:val="24"/>
          <w:rtl/>
        </w:rPr>
        <w:t>ולכן חיפוש נשק עליו הוא מידתי וקשור קשר רציונלי להתנהגותו</w:t>
      </w:r>
      <w:r w:rsidR="00F766A5">
        <w:rPr>
          <w:rFonts w:hint="cs"/>
          <w:b w:val="0"/>
          <w:bCs w:val="0"/>
          <w:sz w:val="18"/>
          <w:szCs w:val="24"/>
          <w:rtl/>
        </w:rPr>
        <w:t xml:space="preserve"> ולחשש הפוטנציאלי ממנו</w:t>
      </w:r>
      <w:r w:rsidR="00251DF7" w:rsidRPr="007F1039">
        <w:rPr>
          <w:rFonts w:hint="cs"/>
          <w:b w:val="0"/>
          <w:bCs w:val="0"/>
          <w:sz w:val="18"/>
          <w:szCs w:val="24"/>
          <w:rtl/>
        </w:rPr>
        <w:t xml:space="preserve">. </w:t>
      </w:r>
    </w:p>
    <w:p w:rsidR="00D51CBE" w:rsidRDefault="00D51CBE" w:rsidP="00D51CBE">
      <w:pPr>
        <w:pStyle w:val="aa"/>
        <w:rPr>
          <w:b/>
          <w:bCs/>
          <w:sz w:val="24"/>
          <w:szCs w:val="24"/>
          <w:rtl/>
        </w:rPr>
      </w:pPr>
    </w:p>
    <w:p w:rsidR="00D51CBE" w:rsidRPr="007F1039" w:rsidRDefault="00D51CBE" w:rsidP="00D51CBE">
      <w:pPr>
        <w:pStyle w:val="HeadHatzaotHok"/>
        <w:spacing w:before="0"/>
        <w:ind w:left="720"/>
        <w:jc w:val="both"/>
        <w:rPr>
          <w:b w:val="0"/>
          <w:bCs w:val="0"/>
          <w:sz w:val="24"/>
          <w:szCs w:val="24"/>
        </w:rPr>
      </w:pPr>
    </w:p>
    <w:p w:rsidR="009116D8" w:rsidRDefault="00251DF7" w:rsidP="003076A9">
      <w:pPr>
        <w:pStyle w:val="HeadHatzaotHok"/>
        <w:numPr>
          <w:ilvl w:val="0"/>
          <w:numId w:val="4"/>
        </w:numPr>
        <w:spacing w:before="0"/>
        <w:jc w:val="both"/>
        <w:rPr>
          <w:b w:val="0"/>
          <w:bCs w:val="0"/>
          <w:sz w:val="18"/>
          <w:szCs w:val="24"/>
        </w:rPr>
      </w:pPr>
      <w:r w:rsidRPr="00782C4B">
        <w:rPr>
          <w:rFonts w:hint="cs"/>
          <w:b w:val="0"/>
          <w:bCs w:val="0"/>
          <w:sz w:val="18"/>
          <w:szCs w:val="24"/>
          <w:rtl/>
        </w:rPr>
        <w:t>הנסיבות הטיפוסיות שפורטו לעיל, אם התקיימו בקרב חבורה של אנשים, יקימו סמכות</w:t>
      </w:r>
      <w:r w:rsidR="007F1039" w:rsidRPr="00782C4B">
        <w:rPr>
          <w:rFonts w:hint="cs"/>
          <w:b w:val="0"/>
          <w:bCs w:val="0"/>
          <w:sz w:val="18"/>
          <w:szCs w:val="24"/>
          <w:rtl/>
        </w:rPr>
        <w:t xml:space="preserve"> </w:t>
      </w:r>
      <w:r w:rsidR="00D97358" w:rsidRPr="00782C4B">
        <w:rPr>
          <w:rFonts w:hint="cs"/>
          <w:b w:val="0"/>
          <w:bCs w:val="0"/>
          <w:sz w:val="18"/>
          <w:szCs w:val="24"/>
          <w:rtl/>
        </w:rPr>
        <w:t xml:space="preserve">חיפוש </w:t>
      </w:r>
      <w:r w:rsidR="007F1039" w:rsidRPr="00782C4B">
        <w:rPr>
          <w:rFonts w:hint="cs"/>
          <w:b w:val="0"/>
          <w:bCs w:val="0"/>
          <w:sz w:val="18"/>
          <w:szCs w:val="24"/>
          <w:rtl/>
        </w:rPr>
        <w:t>לגבי כל בני החבורה. הכוונה היא לאנשים ש</w:t>
      </w:r>
      <w:r w:rsidR="00782C4B" w:rsidRPr="00782C4B">
        <w:rPr>
          <w:rFonts w:hint="cs"/>
          <w:b w:val="0"/>
          <w:bCs w:val="0"/>
          <w:sz w:val="18"/>
          <w:szCs w:val="24"/>
          <w:rtl/>
        </w:rPr>
        <w:t>מהווים חבורה (=</w:t>
      </w:r>
      <w:r w:rsidR="007F1039" w:rsidRPr="00782C4B">
        <w:rPr>
          <w:rFonts w:hint="cs"/>
          <w:b w:val="0"/>
          <w:bCs w:val="0"/>
          <w:sz w:val="18"/>
          <w:szCs w:val="24"/>
          <w:rtl/>
        </w:rPr>
        <w:t>חברו יחד</w:t>
      </w:r>
      <w:r w:rsidR="00782C4B" w:rsidRPr="00782C4B">
        <w:rPr>
          <w:rFonts w:hint="cs"/>
          <w:b w:val="0"/>
          <w:bCs w:val="0"/>
          <w:sz w:val="18"/>
          <w:szCs w:val="24"/>
          <w:rtl/>
        </w:rPr>
        <w:t>)</w:t>
      </w:r>
      <w:r w:rsidR="007F1039" w:rsidRPr="00782C4B">
        <w:rPr>
          <w:rFonts w:hint="cs"/>
          <w:b w:val="0"/>
          <w:bCs w:val="0"/>
          <w:sz w:val="18"/>
          <w:szCs w:val="24"/>
          <w:rtl/>
        </w:rPr>
        <w:t xml:space="preserve"> </w:t>
      </w:r>
      <w:r w:rsidR="00782C4B" w:rsidRPr="00782C4B">
        <w:rPr>
          <w:rFonts w:hint="cs"/>
          <w:b w:val="0"/>
          <w:bCs w:val="0"/>
          <w:sz w:val="18"/>
          <w:szCs w:val="24"/>
          <w:rtl/>
        </w:rPr>
        <w:t>ו</w:t>
      </w:r>
      <w:r w:rsidR="007F1039" w:rsidRPr="00782C4B">
        <w:rPr>
          <w:rFonts w:hint="cs"/>
          <w:b w:val="0"/>
          <w:bCs w:val="0"/>
          <w:sz w:val="18"/>
          <w:szCs w:val="24"/>
          <w:rtl/>
        </w:rPr>
        <w:t>מחזקים זה את זה</w:t>
      </w:r>
      <w:r w:rsidR="00A72267" w:rsidRPr="00782C4B">
        <w:rPr>
          <w:rFonts w:hint="cs"/>
          <w:b w:val="0"/>
          <w:bCs w:val="0"/>
          <w:sz w:val="24"/>
          <w:szCs w:val="24"/>
          <w:rtl/>
        </w:rPr>
        <w:t xml:space="preserve"> בהתנהגות הבעייתית</w:t>
      </w:r>
      <w:r w:rsidR="00D97358" w:rsidRPr="00782C4B">
        <w:rPr>
          <w:rFonts w:hint="cs"/>
          <w:b w:val="0"/>
          <w:bCs w:val="0"/>
          <w:sz w:val="24"/>
          <w:szCs w:val="24"/>
          <w:rtl/>
        </w:rPr>
        <w:t>, שנעשית בנוכחות תומכת ומעודדת</w:t>
      </w:r>
      <w:r w:rsidR="00A72267" w:rsidRPr="00782C4B">
        <w:rPr>
          <w:rFonts w:hint="cs"/>
          <w:b w:val="0"/>
          <w:bCs w:val="0"/>
          <w:sz w:val="24"/>
          <w:szCs w:val="24"/>
          <w:rtl/>
        </w:rPr>
        <w:t xml:space="preserve">. לפי הניסיון, חבורות שכאלו שנקלעות לתגרות ולקטטות, </w:t>
      </w:r>
      <w:r w:rsidR="00322E95" w:rsidRPr="00782C4B">
        <w:rPr>
          <w:rFonts w:hint="cs"/>
          <w:b w:val="0"/>
          <w:bCs w:val="0"/>
          <w:sz w:val="24"/>
          <w:szCs w:val="24"/>
          <w:rtl/>
        </w:rPr>
        <w:t xml:space="preserve">מסלימות </w:t>
      </w:r>
      <w:r w:rsidR="00A72267" w:rsidRPr="00782C4B">
        <w:rPr>
          <w:rFonts w:hint="cs"/>
          <w:b w:val="0"/>
          <w:bCs w:val="0"/>
          <w:sz w:val="24"/>
          <w:szCs w:val="24"/>
          <w:rtl/>
        </w:rPr>
        <w:t xml:space="preserve">פעמים רבות את הקטטה לכדי שימוש בכלים קטלניים. </w:t>
      </w:r>
    </w:p>
    <w:p w:rsidR="00782C4B" w:rsidRPr="00782C4B" w:rsidRDefault="00782C4B" w:rsidP="00782C4B">
      <w:pPr>
        <w:pStyle w:val="HeadHatzaotHok"/>
        <w:spacing w:before="0"/>
        <w:ind w:left="720"/>
        <w:jc w:val="both"/>
        <w:rPr>
          <w:b w:val="0"/>
          <w:bCs w:val="0"/>
          <w:sz w:val="18"/>
          <w:szCs w:val="24"/>
        </w:rPr>
      </w:pPr>
    </w:p>
    <w:p w:rsidR="009116D8" w:rsidRDefault="009116D8" w:rsidP="002C7C09">
      <w:pPr>
        <w:pStyle w:val="HeadHatzaotHok"/>
        <w:widowControl/>
        <w:numPr>
          <w:ilvl w:val="0"/>
          <w:numId w:val="5"/>
        </w:numPr>
        <w:spacing w:before="0"/>
        <w:ind w:left="714" w:hanging="357"/>
        <w:jc w:val="both"/>
        <w:rPr>
          <w:sz w:val="18"/>
          <w:szCs w:val="24"/>
          <w:u w:val="single"/>
        </w:rPr>
      </w:pPr>
      <w:r>
        <w:rPr>
          <w:rFonts w:hint="cs"/>
          <w:sz w:val="18"/>
          <w:szCs w:val="24"/>
          <w:u w:val="single"/>
          <w:rtl/>
        </w:rPr>
        <w:t xml:space="preserve">הוראת שעה </w:t>
      </w:r>
      <w:r w:rsidR="002C7C09">
        <w:rPr>
          <w:rFonts w:hint="cs"/>
          <w:sz w:val="18"/>
          <w:szCs w:val="24"/>
          <w:u w:val="single"/>
          <w:rtl/>
        </w:rPr>
        <w:t xml:space="preserve">לשנתיים </w:t>
      </w:r>
      <w:r w:rsidR="00CC4031">
        <w:rPr>
          <w:sz w:val="18"/>
          <w:szCs w:val="24"/>
          <w:u w:val="single"/>
          <w:rtl/>
        </w:rPr>
        <w:t>–</w:t>
      </w:r>
      <w:r w:rsidR="00CC4031">
        <w:rPr>
          <w:rFonts w:hint="cs"/>
          <w:sz w:val="18"/>
          <w:szCs w:val="24"/>
          <w:u w:val="single"/>
          <w:rtl/>
        </w:rPr>
        <w:t xml:space="preserve"> סמכות </w:t>
      </w:r>
      <w:r>
        <w:rPr>
          <w:rFonts w:hint="cs"/>
          <w:sz w:val="18"/>
          <w:szCs w:val="24"/>
          <w:u w:val="single"/>
          <w:rtl/>
        </w:rPr>
        <w:t xml:space="preserve">להכרזה על מקום </w:t>
      </w:r>
      <w:r w:rsidR="002C7C09">
        <w:rPr>
          <w:rFonts w:hint="cs"/>
          <w:sz w:val="18"/>
          <w:szCs w:val="24"/>
          <w:u w:val="single"/>
          <w:rtl/>
        </w:rPr>
        <w:t xml:space="preserve">ככזה </w:t>
      </w:r>
      <w:r w:rsidR="00CC4031">
        <w:rPr>
          <w:rFonts w:hint="cs"/>
          <w:sz w:val="18"/>
          <w:szCs w:val="24"/>
          <w:u w:val="single"/>
          <w:rtl/>
        </w:rPr>
        <w:t>שיש בו חשש לפעילות חבלנית עוינת:</w:t>
      </w:r>
    </w:p>
    <w:p w:rsidR="00CF007B" w:rsidRDefault="00CF007B" w:rsidP="00CF007B">
      <w:pPr>
        <w:pStyle w:val="HeadHatzaotHok"/>
        <w:widowControl/>
        <w:spacing w:before="0"/>
        <w:ind w:left="714"/>
        <w:jc w:val="both"/>
        <w:rPr>
          <w:sz w:val="18"/>
          <w:szCs w:val="24"/>
          <w:u w:val="single"/>
        </w:rPr>
      </w:pPr>
    </w:p>
    <w:p w:rsidR="0091449F" w:rsidRDefault="0088378B" w:rsidP="002C7C09">
      <w:pPr>
        <w:pStyle w:val="HeadHatzaotHok"/>
        <w:widowControl/>
        <w:spacing w:before="0"/>
        <w:ind w:left="357"/>
        <w:jc w:val="both"/>
        <w:rPr>
          <w:b w:val="0"/>
          <w:bCs w:val="0"/>
          <w:sz w:val="18"/>
          <w:szCs w:val="24"/>
          <w:rtl/>
        </w:rPr>
      </w:pPr>
      <w:r>
        <w:rPr>
          <w:rFonts w:hint="cs"/>
          <w:b w:val="0"/>
          <w:bCs w:val="0"/>
          <w:sz w:val="18"/>
          <w:szCs w:val="24"/>
          <w:rtl/>
        </w:rPr>
        <w:t>אנו מציעות לקבל, בהעדר אפשרות להגדיר בחוק באופן ממצה</w:t>
      </w:r>
      <w:r w:rsidR="00276667">
        <w:rPr>
          <w:rFonts w:hint="cs"/>
          <w:b w:val="0"/>
          <w:bCs w:val="0"/>
          <w:sz w:val="18"/>
          <w:szCs w:val="24"/>
          <w:rtl/>
        </w:rPr>
        <w:t>,</w:t>
      </w:r>
      <w:r>
        <w:rPr>
          <w:rFonts w:hint="cs"/>
          <w:b w:val="0"/>
          <w:bCs w:val="0"/>
          <w:sz w:val="18"/>
          <w:szCs w:val="24"/>
          <w:rtl/>
        </w:rPr>
        <w:t xml:space="preserve"> סמכות לחיפוש נשק בלא חשד </w:t>
      </w:r>
      <w:r w:rsidR="00276667">
        <w:rPr>
          <w:rFonts w:hint="cs"/>
          <w:b w:val="0"/>
          <w:bCs w:val="0"/>
          <w:sz w:val="18"/>
          <w:szCs w:val="24"/>
          <w:rtl/>
        </w:rPr>
        <w:t xml:space="preserve">למניעת פעילות חבלנית עוינת. השימוש המידתי בסמכות יובטח באלה: </w:t>
      </w:r>
    </w:p>
    <w:p w:rsidR="00782C4B" w:rsidRDefault="00782C4B" w:rsidP="002C7C09">
      <w:pPr>
        <w:pStyle w:val="HeadHatzaotHok"/>
        <w:widowControl/>
        <w:spacing w:before="0"/>
        <w:ind w:left="357"/>
        <w:jc w:val="both"/>
        <w:rPr>
          <w:b w:val="0"/>
          <w:bCs w:val="0"/>
          <w:sz w:val="18"/>
          <w:szCs w:val="24"/>
          <w:rtl/>
        </w:rPr>
      </w:pPr>
    </w:p>
    <w:p w:rsidR="0088378B" w:rsidRDefault="00276667" w:rsidP="0091449F">
      <w:pPr>
        <w:pStyle w:val="HeadHatzaotHok"/>
        <w:widowControl/>
        <w:numPr>
          <w:ilvl w:val="0"/>
          <w:numId w:val="8"/>
        </w:numPr>
        <w:spacing w:before="0"/>
        <w:jc w:val="both"/>
        <w:rPr>
          <w:b w:val="0"/>
          <w:bCs w:val="0"/>
          <w:sz w:val="18"/>
          <w:szCs w:val="24"/>
        </w:rPr>
      </w:pPr>
      <w:r>
        <w:rPr>
          <w:rFonts w:hint="cs"/>
          <w:b w:val="0"/>
          <w:bCs w:val="0"/>
          <w:sz w:val="18"/>
          <w:szCs w:val="24"/>
          <w:rtl/>
        </w:rPr>
        <w:t xml:space="preserve">קביעת הסמכות כהוראת שעה </w:t>
      </w:r>
      <w:r w:rsidR="0091449F">
        <w:rPr>
          <w:rFonts w:hint="cs"/>
          <w:b w:val="0"/>
          <w:bCs w:val="0"/>
          <w:sz w:val="18"/>
          <w:szCs w:val="24"/>
          <w:rtl/>
        </w:rPr>
        <w:t xml:space="preserve">לשנתיים עם סעיף </w:t>
      </w:r>
      <w:r w:rsidR="0091449F" w:rsidRPr="008C7E43">
        <w:rPr>
          <w:rFonts w:hint="cs"/>
          <w:b w:val="0"/>
          <w:bCs w:val="0"/>
          <w:sz w:val="18"/>
          <w:szCs w:val="24"/>
          <w:rtl/>
        </w:rPr>
        <w:t>דיווח עיתי לוועדת</w:t>
      </w:r>
      <w:r w:rsidR="0091449F">
        <w:rPr>
          <w:rFonts w:hint="cs"/>
          <w:b w:val="0"/>
          <w:bCs w:val="0"/>
          <w:sz w:val="18"/>
          <w:szCs w:val="24"/>
          <w:rtl/>
        </w:rPr>
        <w:t xml:space="preserve"> החוקה חוק ומשפט</w:t>
      </w:r>
      <w:r w:rsidR="008C7E43">
        <w:rPr>
          <w:rFonts w:hint="cs"/>
          <w:b w:val="0"/>
          <w:bCs w:val="0"/>
          <w:sz w:val="18"/>
          <w:szCs w:val="24"/>
          <w:rtl/>
        </w:rPr>
        <w:t>,</w:t>
      </w:r>
      <w:r w:rsidR="0091449F">
        <w:rPr>
          <w:rFonts w:hint="cs"/>
          <w:b w:val="0"/>
          <w:bCs w:val="0"/>
          <w:sz w:val="18"/>
          <w:szCs w:val="24"/>
          <w:rtl/>
        </w:rPr>
        <w:t xml:space="preserve"> למעקב אחר הפעלת הסעיף ותועלתו.</w:t>
      </w:r>
    </w:p>
    <w:p w:rsidR="00782C4B" w:rsidRDefault="00782C4B" w:rsidP="00782C4B">
      <w:pPr>
        <w:pStyle w:val="HeadHatzaotHok"/>
        <w:widowControl/>
        <w:spacing w:before="0" w:line="240" w:lineRule="auto"/>
        <w:ind w:left="1072"/>
        <w:jc w:val="both"/>
        <w:rPr>
          <w:b w:val="0"/>
          <w:bCs w:val="0"/>
          <w:sz w:val="18"/>
          <w:szCs w:val="24"/>
          <w:rtl/>
        </w:rPr>
      </w:pPr>
    </w:p>
    <w:p w:rsidR="0091449F" w:rsidRDefault="0091449F" w:rsidP="00F766A5">
      <w:pPr>
        <w:pStyle w:val="HeadHatzaotHok"/>
        <w:widowControl/>
        <w:numPr>
          <w:ilvl w:val="0"/>
          <w:numId w:val="8"/>
        </w:numPr>
        <w:spacing w:before="0"/>
        <w:jc w:val="both"/>
        <w:rPr>
          <w:b w:val="0"/>
          <w:bCs w:val="0"/>
          <w:sz w:val="18"/>
          <w:szCs w:val="24"/>
        </w:rPr>
      </w:pPr>
      <w:r>
        <w:rPr>
          <w:rFonts w:hint="cs"/>
          <w:b w:val="0"/>
          <w:bCs w:val="0"/>
          <w:sz w:val="18"/>
          <w:szCs w:val="24"/>
          <w:rtl/>
        </w:rPr>
        <w:t>הסמכות להכריז על מקו</w:t>
      </w:r>
      <w:r w:rsidR="00055B1C">
        <w:rPr>
          <w:rFonts w:hint="cs"/>
          <w:b w:val="0"/>
          <w:bCs w:val="0"/>
          <w:sz w:val="18"/>
          <w:szCs w:val="24"/>
          <w:rtl/>
        </w:rPr>
        <w:t>ם תהיה של מפקד מחוז במשטרה ו</w:t>
      </w:r>
      <w:r w:rsidR="008C7E43">
        <w:rPr>
          <w:rFonts w:hint="cs"/>
          <w:b w:val="0"/>
          <w:bCs w:val="0"/>
          <w:sz w:val="18"/>
          <w:szCs w:val="24"/>
          <w:rtl/>
        </w:rPr>
        <w:t>לאחר</w:t>
      </w:r>
      <w:r w:rsidR="00055B1C">
        <w:rPr>
          <w:rFonts w:hint="cs"/>
          <w:b w:val="0"/>
          <w:bCs w:val="0"/>
          <w:sz w:val="18"/>
          <w:szCs w:val="24"/>
          <w:rtl/>
        </w:rPr>
        <w:t xml:space="preserve"> </w:t>
      </w:r>
      <w:r w:rsidR="00F766A5">
        <w:rPr>
          <w:rFonts w:hint="cs"/>
          <w:b w:val="0"/>
          <w:bCs w:val="0"/>
          <w:sz w:val="18"/>
          <w:szCs w:val="24"/>
          <w:rtl/>
        </w:rPr>
        <w:t>חודשיים</w:t>
      </w:r>
      <w:r w:rsidR="00055B1C">
        <w:rPr>
          <w:rFonts w:hint="cs"/>
          <w:b w:val="0"/>
          <w:bCs w:val="0"/>
          <w:sz w:val="18"/>
          <w:szCs w:val="24"/>
          <w:rtl/>
        </w:rPr>
        <w:t xml:space="preserve"> </w:t>
      </w:r>
      <w:r w:rsidR="00F766A5">
        <w:rPr>
          <w:rFonts w:hint="cs"/>
          <w:b w:val="0"/>
          <w:bCs w:val="0"/>
          <w:sz w:val="18"/>
          <w:szCs w:val="24"/>
          <w:rtl/>
        </w:rPr>
        <w:t>תחייב את  אישורו של ה</w:t>
      </w:r>
      <w:r w:rsidR="00055B1C">
        <w:rPr>
          <w:rFonts w:hint="cs"/>
          <w:b w:val="0"/>
          <w:bCs w:val="0"/>
          <w:sz w:val="18"/>
          <w:szCs w:val="24"/>
          <w:rtl/>
        </w:rPr>
        <w:t xml:space="preserve">מפקח הכללי של המשטרה. </w:t>
      </w:r>
    </w:p>
    <w:p w:rsidR="00782C4B" w:rsidRDefault="00782C4B" w:rsidP="00782C4B">
      <w:pPr>
        <w:pStyle w:val="HeadHatzaotHok"/>
        <w:widowControl/>
        <w:spacing w:before="0" w:line="240" w:lineRule="auto"/>
        <w:jc w:val="both"/>
        <w:rPr>
          <w:b w:val="0"/>
          <w:bCs w:val="0"/>
          <w:sz w:val="18"/>
          <w:szCs w:val="24"/>
        </w:rPr>
      </w:pPr>
    </w:p>
    <w:p w:rsidR="00055B1C" w:rsidRDefault="00055B1C" w:rsidP="00782C4B">
      <w:pPr>
        <w:pStyle w:val="HeadHatzaotHok"/>
        <w:widowControl/>
        <w:numPr>
          <w:ilvl w:val="0"/>
          <w:numId w:val="8"/>
        </w:numPr>
        <w:spacing w:before="0"/>
        <w:jc w:val="both"/>
        <w:rPr>
          <w:b w:val="0"/>
          <w:bCs w:val="0"/>
          <w:sz w:val="18"/>
          <w:szCs w:val="24"/>
        </w:rPr>
      </w:pPr>
      <w:r>
        <w:rPr>
          <w:rFonts w:hint="cs"/>
          <w:b w:val="0"/>
          <w:bCs w:val="0"/>
          <w:sz w:val="18"/>
          <w:szCs w:val="24"/>
          <w:rtl/>
        </w:rPr>
        <w:t xml:space="preserve">הסמכות תהיה מוגבלת לתקופות של </w:t>
      </w:r>
      <w:r w:rsidR="00782C4B">
        <w:rPr>
          <w:rFonts w:hint="cs"/>
          <w:b w:val="0"/>
          <w:bCs w:val="0"/>
          <w:sz w:val="18"/>
          <w:szCs w:val="24"/>
          <w:rtl/>
        </w:rPr>
        <w:t>21</w:t>
      </w:r>
      <w:r>
        <w:rPr>
          <w:rFonts w:hint="cs"/>
          <w:b w:val="0"/>
          <w:bCs w:val="0"/>
          <w:sz w:val="18"/>
          <w:szCs w:val="24"/>
          <w:rtl/>
        </w:rPr>
        <w:t xml:space="preserve"> ימים</w:t>
      </w:r>
      <w:r w:rsidR="008C7E43">
        <w:rPr>
          <w:rFonts w:hint="cs"/>
          <w:b w:val="0"/>
          <w:bCs w:val="0"/>
          <w:sz w:val="18"/>
          <w:szCs w:val="24"/>
          <w:rtl/>
        </w:rPr>
        <w:t xml:space="preserve"> כל אחת</w:t>
      </w:r>
      <w:r>
        <w:rPr>
          <w:rFonts w:hint="cs"/>
          <w:b w:val="0"/>
          <w:bCs w:val="0"/>
          <w:sz w:val="18"/>
          <w:szCs w:val="24"/>
          <w:rtl/>
        </w:rPr>
        <w:t xml:space="preserve">, מה שיבטיח בחינה </w:t>
      </w:r>
      <w:r w:rsidR="00782C4B">
        <w:rPr>
          <w:rFonts w:hint="cs"/>
          <w:b w:val="0"/>
          <w:bCs w:val="0"/>
          <w:sz w:val="18"/>
          <w:szCs w:val="24"/>
          <w:rtl/>
        </w:rPr>
        <w:t>עיתית</w:t>
      </w:r>
      <w:r>
        <w:rPr>
          <w:rFonts w:hint="cs"/>
          <w:b w:val="0"/>
          <w:bCs w:val="0"/>
          <w:sz w:val="18"/>
          <w:szCs w:val="24"/>
          <w:rtl/>
        </w:rPr>
        <w:t xml:space="preserve"> של גורם בכיר במשטרה</w:t>
      </w:r>
      <w:r w:rsidR="001F2618">
        <w:rPr>
          <w:rFonts w:hint="cs"/>
          <w:b w:val="0"/>
          <w:bCs w:val="0"/>
          <w:sz w:val="18"/>
          <w:szCs w:val="24"/>
          <w:rtl/>
        </w:rPr>
        <w:t>, לצורך חידוש ההכרזה במקרה הצורך</w:t>
      </w:r>
      <w:r>
        <w:rPr>
          <w:rFonts w:hint="cs"/>
          <w:b w:val="0"/>
          <w:bCs w:val="0"/>
          <w:sz w:val="18"/>
          <w:szCs w:val="24"/>
          <w:rtl/>
        </w:rPr>
        <w:t xml:space="preserve">. </w:t>
      </w:r>
    </w:p>
    <w:p w:rsidR="00782C4B" w:rsidRDefault="00782C4B" w:rsidP="00782C4B">
      <w:pPr>
        <w:pStyle w:val="HeadHatzaotHok"/>
        <w:widowControl/>
        <w:spacing w:before="0" w:line="240" w:lineRule="auto"/>
        <w:jc w:val="both"/>
        <w:rPr>
          <w:b w:val="0"/>
          <w:bCs w:val="0"/>
          <w:sz w:val="18"/>
          <w:szCs w:val="24"/>
        </w:rPr>
      </w:pPr>
    </w:p>
    <w:p w:rsidR="00D977D5" w:rsidRDefault="00D977D5" w:rsidP="00D977D5">
      <w:pPr>
        <w:pStyle w:val="HeadHatzaotHok"/>
        <w:widowControl/>
        <w:numPr>
          <w:ilvl w:val="0"/>
          <w:numId w:val="8"/>
        </w:numPr>
        <w:spacing w:before="0"/>
        <w:jc w:val="both"/>
        <w:rPr>
          <w:b w:val="0"/>
          <w:bCs w:val="0"/>
          <w:sz w:val="18"/>
          <w:szCs w:val="24"/>
        </w:rPr>
      </w:pPr>
      <w:r>
        <w:rPr>
          <w:rFonts w:hint="cs"/>
          <w:b w:val="0"/>
          <w:bCs w:val="0"/>
          <w:sz w:val="18"/>
          <w:szCs w:val="24"/>
          <w:rtl/>
        </w:rPr>
        <w:t xml:space="preserve">קביעת חובה לעדכן את העוברים במקום על סמכות החיפוש, באופן שיאפשר למי שאינו מעוניין בחיפוש </w:t>
      </w:r>
      <w:r>
        <w:rPr>
          <w:b w:val="0"/>
          <w:bCs w:val="0"/>
          <w:sz w:val="18"/>
          <w:szCs w:val="24"/>
          <w:rtl/>
        </w:rPr>
        <w:t>–</w:t>
      </w:r>
      <w:r>
        <w:rPr>
          <w:rFonts w:hint="cs"/>
          <w:b w:val="0"/>
          <w:bCs w:val="0"/>
          <w:sz w:val="18"/>
          <w:szCs w:val="24"/>
          <w:rtl/>
        </w:rPr>
        <w:t xml:space="preserve"> שלא להיכנס לאזור החיפוש. </w:t>
      </w:r>
    </w:p>
    <w:p w:rsidR="00782C4B" w:rsidRDefault="00782C4B" w:rsidP="00782C4B">
      <w:pPr>
        <w:pStyle w:val="HeadHatzaotHok"/>
        <w:widowControl/>
        <w:spacing w:before="0"/>
        <w:jc w:val="both"/>
        <w:rPr>
          <w:b w:val="0"/>
          <w:bCs w:val="0"/>
          <w:sz w:val="18"/>
          <w:szCs w:val="24"/>
        </w:rPr>
      </w:pPr>
    </w:p>
    <w:p w:rsidR="001F2618" w:rsidRDefault="00055B1C" w:rsidP="009404A7">
      <w:pPr>
        <w:pStyle w:val="HeadHatzaotHok"/>
        <w:widowControl/>
        <w:numPr>
          <w:ilvl w:val="0"/>
          <w:numId w:val="8"/>
        </w:numPr>
        <w:spacing w:before="0"/>
        <w:jc w:val="both"/>
        <w:rPr>
          <w:b w:val="0"/>
          <w:bCs w:val="0"/>
          <w:sz w:val="18"/>
          <w:szCs w:val="24"/>
        </w:rPr>
      </w:pPr>
      <w:r>
        <w:rPr>
          <w:rFonts w:hint="cs"/>
          <w:b w:val="0"/>
          <w:bCs w:val="0"/>
          <w:sz w:val="18"/>
          <w:szCs w:val="24"/>
          <w:rtl/>
        </w:rPr>
        <w:t xml:space="preserve">המפקח הכללי של המשטרה ייקבע נוהל לגבי אופן ביצוע החיפוש והצורך להבטיח את </w:t>
      </w:r>
      <w:r w:rsidR="002C7C09">
        <w:rPr>
          <w:rFonts w:hint="cs"/>
          <w:b w:val="0"/>
          <w:bCs w:val="0"/>
          <w:sz w:val="18"/>
          <w:szCs w:val="24"/>
          <w:rtl/>
        </w:rPr>
        <w:t>הפעלת</w:t>
      </w:r>
      <w:r w:rsidRPr="00055B1C">
        <w:rPr>
          <w:rFonts w:hint="cs"/>
          <w:b w:val="0"/>
          <w:bCs w:val="0"/>
          <w:sz w:val="18"/>
          <w:szCs w:val="24"/>
          <w:rtl/>
        </w:rPr>
        <w:t xml:space="preserve"> </w:t>
      </w:r>
      <w:r>
        <w:rPr>
          <w:rFonts w:hint="cs"/>
          <w:b w:val="0"/>
          <w:bCs w:val="0"/>
          <w:sz w:val="18"/>
          <w:szCs w:val="24"/>
          <w:rtl/>
        </w:rPr>
        <w:t>הסמכות</w:t>
      </w:r>
      <w:r w:rsidR="002C7C09">
        <w:rPr>
          <w:rFonts w:hint="cs"/>
          <w:b w:val="0"/>
          <w:bCs w:val="0"/>
          <w:sz w:val="18"/>
          <w:szCs w:val="24"/>
          <w:rtl/>
        </w:rPr>
        <w:t xml:space="preserve"> בשים לב למטרה</w:t>
      </w:r>
      <w:r w:rsidR="00D977D5">
        <w:rPr>
          <w:rFonts w:hint="cs"/>
          <w:b w:val="0"/>
          <w:bCs w:val="0"/>
          <w:sz w:val="18"/>
          <w:szCs w:val="24"/>
          <w:rtl/>
        </w:rPr>
        <w:t xml:space="preserve"> </w:t>
      </w:r>
      <w:r w:rsidR="00D977D5">
        <w:rPr>
          <w:b w:val="0"/>
          <w:bCs w:val="0"/>
          <w:sz w:val="18"/>
          <w:szCs w:val="24"/>
          <w:rtl/>
        </w:rPr>
        <w:t>–</w:t>
      </w:r>
      <w:r w:rsidR="00D977D5">
        <w:rPr>
          <w:rFonts w:hint="cs"/>
          <w:b w:val="0"/>
          <w:bCs w:val="0"/>
          <w:sz w:val="18"/>
          <w:szCs w:val="24"/>
          <w:rtl/>
        </w:rPr>
        <w:t xml:space="preserve"> חיפוש נשק בלבד </w:t>
      </w:r>
      <w:r w:rsidR="00D977D5">
        <w:rPr>
          <w:b w:val="0"/>
          <w:bCs w:val="0"/>
          <w:sz w:val="18"/>
          <w:szCs w:val="24"/>
          <w:rtl/>
        </w:rPr>
        <w:t>–</w:t>
      </w:r>
      <w:r w:rsidR="00D977D5">
        <w:rPr>
          <w:rFonts w:hint="cs"/>
          <w:b w:val="0"/>
          <w:bCs w:val="0"/>
          <w:sz w:val="18"/>
          <w:szCs w:val="24"/>
          <w:rtl/>
        </w:rPr>
        <w:t xml:space="preserve"> </w:t>
      </w:r>
      <w:r w:rsidR="001F2618">
        <w:rPr>
          <w:rFonts w:hint="cs"/>
          <w:b w:val="0"/>
          <w:bCs w:val="0"/>
          <w:sz w:val="18"/>
          <w:szCs w:val="24"/>
          <w:rtl/>
        </w:rPr>
        <w:t xml:space="preserve"> ו</w:t>
      </w:r>
      <w:r w:rsidR="009404A7">
        <w:rPr>
          <w:rFonts w:hint="cs"/>
          <w:b w:val="0"/>
          <w:bCs w:val="0"/>
          <w:sz w:val="18"/>
          <w:szCs w:val="24"/>
          <w:rtl/>
        </w:rPr>
        <w:t xml:space="preserve">באופן </w:t>
      </w:r>
      <w:r w:rsidR="001F2618">
        <w:rPr>
          <w:rFonts w:hint="cs"/>
          <w:b w:val="0"/>
          <w:bCs w:val="0"/>
          <w:sz w:val="18"/>
          <w:szCs w:val="24"/>
          <w:rtl/>
        </w:rPr>
        <w:t xml:space="preserve">שיבטיח שמירה מרבית על כבוד האדם, פרטיותו וזכויותיו. </w:t>
      </w:r>
    </w:p>
    <w:p w:rsidR="002C7C09" w:rsidRDefault="002C7C09" w:rsidP="002C7C09">
      <w:pPr>
        <w:pStyle w:val="HeadHatzaotHok"/>
        <w:widowControl/>
        <w:spacing w:before="0"/>
        <w:jc w:val="both"/>
        <w:rPr>
          <w:b w:val="0"/>
          <w:bCs w:val="0"/>
          <w:sz w:val="18"/>
          <w:szCs w:val="24"/>
          <w:rtl/>
        </w:rPr>
      </w:pPr>
    </w:p>
    <w:p w:rsidR="002C7C09" w:rsidRDefault="002C7C09" w:rsidP="002C7C09">
      <w:pPr>
        <w:pStyle w:val="HeadHatzaotHok"/>
        <w:widowControl/>
        <w:spacing w:before="0"/>
        <w:jc w:val="both"/>
        <w:rPr>
          <w:b w:val="0"/>
          <w:bCs w:val="0"/>
          <w:sz w:val="18"/>
          <w:szCs w:val="24"/>
          <w:rtl/>
        </w:rPr>
      </w:pPr>
      <w:r>
        <w:rPr>
          <w:b w:val="0"/>
          <w:bCs w:val="0"/>
          <w:sz w:val="18"/>
          <w:szCs w:val="24"/>
          <w:rtl/>
        </w:rPr>
        <w:br w:type="page"/>
      </w:r>
    </w:p>
    <w:p w:rsidR="002C7C09" w:rsidRPr="002C7C09" w:rsidRDefault="002C7C09" w:rsidP="002C7C09">
      <w:pPr>
        <w:pStyle w:val="HeadHatzaotHok"/>
        <w:widowControl/>
        <w:spacing w:before="0"/>
        <w:jc w:val="both"/>
        <w:rPr>
          <w:b w:val="0"/>
          <w:bCs w:val="0"/>
          <w:sz w:val="18"/>
          <w:szCs w:val="24"/>
          <w:rtl/>
        </w:rPr>
      </w:pPr>
    </w:p>
    <w:p w:rsidR="002C7C09" w:rsidRDefault="002C7C09" w:rsidP="008C7E43">
      <w:pPr>
        <w:pStyle w:val="HeadHatzaotHok"/>
        <w:spacing w:before="0" w:line="26" w:lineRule="atLeast"/>
        <w:jc w:val="left"/>
        <w:rPr>
          <w:sz w:val="18"/>
          <w:szCs w:val="24"/>
          <w:rtl/>
        </w:rPr>
      </w:pPr>
    </w:p>
    <w:p w:rsidR="008C7E43" w:rsidRDefault="008C7E43" w:rsidP="008C7E43">
      <w:pPr>
        <w:pStyle w:val="HeadHatzaotHok"/>
        <w:spacing w:before="0" w:line="26" w:lineRule="atLeast"/>
        <w:jc w:val="left"/>
        <w:rPr>
          <w:sz w:val="18"/>
          <w:szCs w:val="24"/>
          <w:rtl/>
        </w:rPr>
      </w:pPr>
      <w:r>
        <w:rPr>
          <w:rFonts w:hint="cs"/>
          <w:sz w:val="18"/>
          <w:szCs w:val="24"/>
          <w:rtl/>
        </w:rPr>
        <w:t xml:space="preserve">הנוסח המוצע: </w:t>
      </w:r>
    </w:p>
    <w:p w:rsidR="008C7E43" w:rsidRDefault="008C7E43" w:rsidP="008C7E43">
      <w:pPr>
        <w:pStyle w:val="HeadHatzaotHok"/>
        <w:spacing w:before="0" w:line="26" w:lineRule="atLeast"/>
        <w:jc w:val="left"/>
        <w:rPr>
          <w:sz w:val="18"/>
          <w:szCs w:val="24"/>
          <w:rtl/>
        </w:rPr>
      </w:pPr>
    </w:p>
    <w:bookmarkEnd w:id="0"/>
    <w:p w:rsidR="00B35E1B" w:rsidRPr="003251E0" w:rsidRDefault="00B35E1B" w:rsidP="00B35E1B">
      <w:pPr>
        <w:pStyle w:val="HeadHatzaotHok"/>
        <w:spacing w:before="0" w:line="26" w:lineRule="atLeast"/>
        <w:rPr>
          <w:sz w:val="18"/>
          <w:szCs w:val="24"/>
          <w:rtl/>
        </w:rPr>
      </w:pPr>
      <w:r w:rsidRPr="003251E0">
        <w:rPr>
          <w:rFonts w:hint="cs"/>
          <w:sz w:val="18"/>
          <w:szCs w:val="24"/>
          <w:rtl/>
        </w:rPr>
        <w:t>חוק סמכויות לשם שמירה על ביטחון הציבור (תיקון מס' ___ והוראת שעה), התשע"ו</w:t>
      </w:r>
      <w:r w:rsidRPr="003251E0">
        <w:rPr>
          <w:rFonts w:hint="eastAsia"/>
          <w:sz w:val="18"/>
          <w:szCs w:val="24"/>
          <w:rtl/>
        </w:rPr>
        <w:t>–</w:t>
      </w:r>
      <w:r w:rsidRPr="003251E0">
        <w:rPr>
          <w:rFonts w:hint="cs"/>
          <w:sz w:val="18"/>
          <w:szCs w:val="24"/>
          <w:rtl/>
        </w:rPr>
        <w:t>201</w:t>
      </w:r>
      <w:r>
        <w:rPr>
          <w:rFonts w:hint="cs"/>
          <w:sz w:val="18"/>
          <w:szCs w:val="24"/>
          <w:rtl/>
        </w:rPr>
        <w:t>6</w:t>
      </w:r>
    </w:p>
    <w:p w:rsidR="00B35E1B" w:rsidRPr="003251E0" w:rsidRDefault="00B35E1B" w:rsidP="00B35E1B">
      <w:pPr>
        <w:pStyle w:val="Noparagraphstyle"/>
        <w:spacing w:line="26" w:lineRule="atLeast"/>
        <w:ind w:right="-28"/>
        <w:rPr>
          <w:sz w:val="18"/>
          <w:szCs w:val="24"/>
          <w:rtl/>
        </w:rPr>
      </w:pPr>
    </w:p>
    <w:tbl>
      <w:tblPr>
        <w:bidiVisual/>
        <w:tblW w:w="8312" w:type="dxa"/>
        <w:tblLayout w:type="fixed"/>
        <w:tblCellMar>
          <w:top w:w="57" w:type="dxa"/>
          <w:left w:w="0" w:type="dxa"/>
          <w:bottom w:w="57" w:type="dxa"/>
          <w:right w:w="0" w:type="dxa"/>
        </w:tblCellMar>
        <w:tblLook w:val="0000" w:firstRow="0" w:lastRow="0" w:firstColumn="0" w:lastColumn="0" w:noHBand="0" w:noVBand="0"/>
      </w:tblPr>
      <w:tblGrid>
        <w:gridCol w:w="1612"/>
        <w:gridCol w:w="540"/>
        <w:gridCol w:w="540"/>
        <w:gridCol w:w="539"/>
        <w:gridCol w:w="539"/>
        <w:gridCol w:w="539"/>
        <w:gridCol w:w="4003"/>
      </w:tblGrid>
      <w:tr w:rsidR="00B35E1B" w:rsidRPr="003251E0" w:rsidTr="00092FC0">
        <w:trPr>
          <w:cantSplit/>
        </w:trPr>
        <w:tc>
          <w:tcPr>
            <w:tcW w:w="1612" w:type="dxa"/>
            <w:shd w:val="clear" w:color="auto" w:fill="auto"/>
            <w:tcMar>
              <w:top w:w="91" w:type="dxa"/>
              <w:left w:w="0" w:type="dxa"/>
              <w:bottom w:w="91" w:type="dxa"/>
              <w:right w:w="0" w:type="dxa"/>
            </w:tcMar>
          </w:tcPr>
          <w:p w:rsidR="00B35E1B" w:rsidRPr="003251E0" w:rsidRDefault="00B35E1B" w:rsidP="00092FC0">
            <w:pPr>
              <w:pStyle w:val="TableSideHeading"/>
              <w:spacing w:line="240" w:lineRule="auto"/>
              <w:rPr>
                <w:sz w:val="24"/>
                <w:szCs w:val="24"/>
                <w:rtl/>
              </w:rPr>
            </w:pPr>
            <w:r w:rsidRPr="003251E0">
              <w:rPr>
                <w:rFonts w:hint="eastAsia"/>
                <w:sz w:val="24"/>
                <w:szCs w:val="24"/>
                <w:rtl/>
              </w:rPr>
              <w:t>תיקון</w:t>
            </w:r>
            <w:r w:rsidRPr="003251E0">
              <w:rPr>
                <w:sz w:val="24"/>
                <w:szCs w:val="24"/>
                <w:rtl/>
              </w:rPr>
              <w:t xml:space="preserve"> </w:t>
            </w:r>
            <w:r w:rsidRPr="003251E0">
              <w:rPr>
                <w:rFonts w:hint="eastAsia"/>
                <w:sz w:val="24"/>
                <w:szCs w:val="24"/>
                <w:rtl/>
              </w:rPr>
              <w:t>סעיף</w:t>
            </w:r>
            <w:r w:rsidRPr="003251E0">
              <w:rPr>
                <w:sz w:val="24"/>
                <w:szCs w:val="24"/>
                <w:rtl/>
              </w:rPr>
              <w:t xml:space="preserve"> 3</w:t>
            </w: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r w:rsidRPr="003251E0">
              <w:rPr>
                <w:sz w:val="24"/>
                <w:szCs w:val="24"/>
                <w:rtl/>
              </w:rPr>
              <w:t xml:space="preserve">1. </w:t>
            </w:r>
          </w:p>
        </w:tc>
        <w:tc>
          <w:tcPr>
            <w:tcW w:w="6160" w:type="dxa"/>
            <w:gridSpan w:val="5"/>
            <w:shd w:val="clear" w:color="auto" w:fill="auto"/>
            <w:tcMar>
              <w:top w:w="91" w:type="dxa"/>
              <w:left w:w="0" w:type="dxa"/>
              <w:bottom w:w="91" w:type="dxa"/>
              <w:right w:w="0" w:type="dxa"/>
            </w:tcMar>
          </w:tcPr>
          <w:p w:rsidR="00B35E1B" w:rsidRPr="003251E0" w:rsidRDefault="00B35E1B" w:rsidP="00092FC0">
            <w:pPr>
              <w:pStyle w:val="TableBlock"/>
              <w:spacing w:line="240" w:lineRule="auto"/>
              <w:rPr>
                <w:sz w:val="24"/>
                <w:szCs w:val="24"/>
                <w:rtl/>
              </w:rPr>
            </w:pPr>
            <w:r w:rsidRPr="003251E0">
              <w:rPr>
                <w:rFonts w:hint="eastAsia"/>
                <w:sz w:val="24"/>
                <w:szCs w:val="24"/>
                <w:rtl/>
              </w:rPr>
              <w:t>בחוק</w:t>
            </w:r>
            <w:r w:rsidRPr="003251E0">
              <w:rPr>
                <w:sz w:val="24"/>
                <w:szCs w:val="24"/>
                <w:rtl/>
              </w:rPr>
              <w:t xml:space="preserve"> </w:t>
            </w:r>
            <w:r w:rsidRPr="003251E0">
              <w:rPr>
                <w:rFonts w:hint="eastAsia"/>
                <w:sz w:val="24"/>
                <w:szCs w:val="24"/>
                <w:rtl/>
              </w:rPr>
              <w:t>סמכויות</w:t>
            </w:r>
            <w:r w:rsidRPr="003251E0">
              <w:rPr>
                <w:sz w:val="24"/>
                <w:szCs w:val="24"/>
                <w:rtl/>
              </w:rPr>
              <w:t xml:space="preserve"> </w:t>
            </w:r>
            <w:r w:rsidRPr="003251E0">
              <w:rPr>
                <w:rFonts w:hint="eastAsia"/>
                <w:sz w:val="24"/>
                <w:szCs w:val="24"/>
                <w:rtl/>
              </w:rPr>
              <w:t>לשם</w:t>
            </w:r>
            <w:r w:rsidRPr="003251E0">
              <w:rPr>
                <w:sz w:val="24"/>
                <w:szCs w:val="24"/>
                <w:rtl/>
              </w:rPr>
              <w:t xml:space="preserve"> </w:t>
            </w:r>
            <w:r w:rsidRPr="003251E0">
              <w:rPr>
                <w:rFonts w:hint="eastAsia"/>
                <w:sz w:val="24"/>
                <w:szCs w:val="24"/>
                <w:rtl/>
              </w:rPr>
              <w:t>שמירה</w:t>
            </w:r>
            <w:r w:rsidRPr="003251E0">
              <w:rPr>
                <w:sz w:val="24"/>
                <w:szCs w:val="24"/>
                <w:rtl/>
              </w:rPr>
              <w:t xml:space="preserve"> </w:t>
            </w:r>
            <w:r w:rsidRPr="003251E0">
              <w:rPr>
                <w:rFonts w:hint="eastAsia"/>
                <w:sz w:val="24"/>
                <w:szCs w:val="24"/>
                <w:rtl/>
              </w:rPr>
              <w:t>על</w:t>
            </w:r>
            <w:r w:rsidRPr="003251E0">
              <w:rPr>
                <w:sz w:val="24"/>
                <w:szCs w:val="24"/>
                <w:rtl/>
              </w:rPr>
              <w:t xml:space="preserve"> </w:t>
            </w:r>
            <w:r w:rsidRPr="003251E0">
              <w:rPr>
                <w:rFonts w:hint="eastAsia"/>
                <w:sz w:val="24"/>
                <w:szCs w:val="24"/>
                <w:rtl/>
              </w:rPr>
              <w:t>ביטחון</w:t>
            </w:r>
            <w:r w:rsidRPr="003251E0">
              <w:rPr>
                <w:sz w:val="24"/>
                <w:szCs w:val="24"/>
                <w:rtl/>
              </w:rPr>
              <w:t xml:space="preserve"> </w:t>
            </w:r>
            <w:r w:rsidRPr="003251E0">
              <w:rPr>
                <w:rFonts w:hint="eastAsia"/>
                <w:sz w:val="24"/>
                <w:szCs w:val="24"/>
                <w:rtl/>
              </w:rPr>
              <w:t>הציבור</w:t>
            </w:r>
            <w:r w:rsidRPr="003251E0">
              <w:rPr>
                <w:sz w:val="24"/>
                <w:szCs w:val="24"/>
                <w:rtl/>
              </w:rPr>
              <w:t xml:space="preserve">, </w:t>
            </w:r>
            <w:r w:rsidRPr="003251E0">
              <w:rPr>
                <w:rFonts w:hint="eastAsia"/>
                <w:sz w:val="24"/>
                <w:szCs w:val="24"/>
                <w:rtl/>
              </w:rPr>
              <w:t>התשס</w:t>
            </w:r>
            <w:r w:rsidRPr="003251E0">
              <w:rPr>
                <w:sz w:val="24"/>
                <w:szCs w:val="24"/>
                <w:rtl/>
              </w:rPr>
              <w:t>"</w:t>
            </w:r>
            <w:r w:rsidRPr="003251E0">
              <w:rPr>
                <w:rFonts w:hint="eastAsia"/>
                <w:sz w:val="24"/>
                <w:szCs w:val="24"/>
                <w:rtl/>
              </w:rPr>
              <w:t>ה</w:t>
            </w:r>
            <w:r w:rsidRPr="003251E0">
              <w:rPr>
                <w:sz w:val="24"/>
                <w:szCs w:val="24"/>
                <w:rtl/>
              </w:rPr>
              <w:t>–2005</w:t>
            </w:r>
            <w:r w:rsidRPr="003251E0">
              <w:rPr>
                <w:rFonts w:hint="eastAsia"/>
                <w:sz w:val="24"/>
                <w:szCs w:val="24"/>
                <w:rtl/>
              </w:rPr>
              <w:t>‏</w:t>
            </w:r>
            <w:r w:rsidRPr="003251E0">
              <w:rPr>
                <w:rStyle w:val="a5"/>
                <w:rFonts w:hAnsi="HadasaMFO"/>
                <w:sz w:val="24"/>
                <w:szCs w:val="24"/>
                <w:rtl/>
              </w:rPr>
              <w:footnoteReference w:id="1"/>
            </w:r>
            <w:r w:rsidRPr="003251E0">
              <w:rPr>
                <w:sz w:val="24"/>
                <w:szCs w:val="24"/>
                <w:rtl/>
              </w:rPr>
              <w:t xml:space="preserve"> (</w:t>
            </w:r>
            <w:r w:rsidRPr="003251E0">
              <w:rPr>
                <w:rFonts w:hint="eastAsia"/>
                <w:sz w:val="24"/>
                <w:szCs w:val="24"/>
                <w:rtl/>
              </w:rPr>
              <w:t>להלן</w:t>
            </w:r>
            <w:r w:rsidRPr="003251E0">
              <w:rPr>
                <w:sz w:val="24"/>
                <w:szCs w:val="24"/>
                <w:rtl/>
              </w:rPr>
              <w:t xml:space="preserve"> – </w:t>
            </w:r>
            <w:r w:rsidRPr="003251E0">
              <w:rPr>
                <w:rFonts w:hint="eastAsia"/>
                <w:sz w:val="24"/>
                <w:szCs w:val="24"/>
                <w:rtl/>
              </w:rPr>
              <w:t>החוק</w:t>
            </w:r>
            <w:r w:rsidRPr="003251E0">
              <w:rPr>
                <w:sz w:val="24"/>
                <w:szCs w:val="24"/>
                <w:rtl/>
              </w:rPr>
              <w:t xml:space="preserve"> </w:t>
            </w:r>
            <w:r w:rsidRPr="003251E0">
              <w:rPr>
                <w:rFonts w:hint="eastAsia"/>
                <w:sz w:val="24"/>
                <w:szCs w:val="24"/>
                <w:rtl/>
              </w:rPr>
              <w:t>העיקרי</w:t>
            </w:r>
            <w:r w:rsidRPr="003251E0">
              <w:rPr>
                <w:sz w:val="24"/>
                <w:szCs w:val="24"/>
                <w:rtl/>
              </w:rPr>
              <w:t xml:space="preserve">), </w:t>
            </w:r>
            <w:r w:rsidRPr="003251E0">
              <w:rPr>
                <w:rFonts w:hint="eastAsia"/>
                <w:sz w:val="24"/>
                <w:szCs w:val="24"/>
                <w:rtl/>
              </w:rPr>
              <w:t>בסעיף</w:t>
            </w:r>
            <w:r w:rsidRPr="003251E0">
              <w:rPr>
                <w:sz w:val="24"/>
                <w:szCs w:val="24"/>
                <w:rtl/>
              </w:rPr>
              <w:t xml:space="preserve"> 3, </w:t>
            </w:r>
            <w:r w:rsidRPr="003251E0">
              <w:rPr>
                <w:rFonts w:hint="eastAsia"/>
                <w:sz w:val="24"/>
                <w:szCs w:val="24"/>
                <w:rtl/>
              </w:rPr>
              <w:t>אחרי</w:t>
            </w:r>
            <w:r w:rsidRPr="003251E0">
              <w:rPr>
                <w:sz w:val="24"/>
                <w:szCs w:val="24"/>
                <w:rtl/>
              </w:rPr>
              <w:t xml:space="preserve"> </w:t>
            </w:r>
            <w:r w:rsidRPr="003251E0">
              <w:rPr>
                <w:rFonts w:hint="eastAsia"/>
                <w:sz w:val="24"/>
                <w:szCs w:val="24"/>
                <w:rtl/>
              </w:rPr>
              <w:t>סעיף</w:t>
            </w:r>
            <w:r w:rsidRPr="003251E0">
              <w:rPr>
                <w:sz w:val="24"/>
                <w:szCs w:val="24"/>
                <w:rtl/>
              </w:rPr>
              <w:t xml:space="preserve"> </w:t>
            </w:r>
            <w:r w:rsidRPr="003251E0">
              <w:rPr>
                <w:rFonts w:hint="eastAsia"/>
                <w:sz w:val="24"/>
                <w:szCs w:val="24"/>
                <w:rtl/>
              </w:rPr>
              <w:t>קטן</w:t>
            </w:r>
            <w:r w:rsidRPr="003251E0">
              <w:rPr>
                <w:sz w:val="24"/>
                <w:szCs w:val="24"/>
                <w:rtl/>
              </w:rPr>
              <w:t xml:space="preserve"> (</w:t>
            </w:r>
            <w:r w:rsidRPr="003251E0">
              <w:rPr>
                <w:rFonts w:hint="eastAsia"/>
                <w:sz w:val="24"/>
                <w:szCs w:val="24"/>
                <w:rtl/>
              </w:rPr>
              <w:t>ב</w:t>
            </w:r>
            <w:r w:rsidRPr="003251E0">
              <w:rPr>
                <w:sz w:val="24"/>
                <w:szCs w:val="24"/>
                <w:rtl/>
              </w:rPr>
              <w:t xml:space="preserve">) </w:t>
            </w:r>
            <w:r w:rsidRPr="003251E0">
              <w:rPr>
                <w:rFonts w:hint="eastAsia"/>
                <w:sz w:val="24"/>
                <w:szCs w:val="24"/>
                <w:rtl/>
              </w:rPr>
              <w:t>יבוא</w:t>
            </w:r>
            <w:r w:rsidRPr="003251E0">
              <w:rPr>
                <w:sz w:val="24"/>
                <w:szCs w:val="24"/>
                <w:rtl/>
              </w:rPr>
              <w:t>:</w:t>
            </w:r>
          </w:p>
        </w:tc>
      </w:tr>
      <w:tr w:rsidR="00B35E1B" w:rsidRPr="003251E0" w:rsidTr="00092FC0">
        <w:trPr>
          <w:cantSplit/>
        </w:trPr>
        <w:tc>
          <w:tcPr>
            <w:tcW w:w="1612" w:type="dxa"/>
            <w:shd w:val="clear" w:color="auto" w:fill="auto"/>
            <w:tcMar>
              <w:top w:w="91" w:type="dxa"/>
              <w:left w:w="0" w:type="dxa"/>
              <w:bottom w:w="91" w:type="dxa"/>
              <w:right w:w="0" w:type="dxa"/>
            </w:tcMar>
          </w:tcPr>
          <w:p w:rsidR="00B35E1B" w:rsidRPr="003251E0" w:rsidRDefault="00B35E1B" w:rsidP="00092FC0">
            <w:pPr>
              <w:pStyle w:val="TableSideHeading"/>
              <w:spacing w:line="240" w:lineRule="auto"/>
              <w:rPr>
                <w:sz w:val="24"/>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6160" w:type="dxa"/>
            <w:gridSpan w:val="5"/>
            <w:shd w:val="clear" w:color="auto" w:fill="auto"/>
            <w:tcMar>
              <w:top w:w="91" w:type="dxa"/>
              <w:left w:w="0" w:type="dxa"/>
              <w:bottom w:w="91" w:type="dxa"/>
              <w:right w:w="0" w:type="dxa"/>
            </w:tcMar>
          </w:tcPr>
          <w:p w:rsidR="00B35E1B" w:rsidRDefault="00B35E1B" w:rsidP="00092FC0">
            <w:pPr>
              <w:pStyle w:val="TableBlock"/>
              <w:spacing w:line="240" w:lineRule="auto"/>
              <w:rPr>
                <w:sz w:val="24"/>
                <w:szCs w:val="24"/>
                <w:rtl/>
              </w:rPr>
            </w:pPr>
          </w:p>
          <w:p w:rsidR="00B35E1B" w:rsidRDefault="00B35E1B" w:rsidP="00092FC0">
            <w:pPr>
              <w:pStyle w:val="TableBlock"/>
              <w:spacing w:line="240" w:lineRule="auto"/>
              <w:rPr>
                <w:sz w:val="24"/>
                <w:szCs w:val="24"/>
              </w:rPr>
            </w:pPr>
            <w:r>
              <w:rPr>
                <w:rFonts w:hint="cs"/>
                <w:sz w:val="24"/>
                <w:szCs w:val="24"/>
                <w:rtl/>
              </w:rPr>
              <w:t>"(ב1)</w:t>
            </w:r>
            <w:r>
              <w:rPr>
                <w:sz w:val="24"/>
                <w:szCs w:val="24"/>
                <w:rtl/>
              </w:rPr>
              <w:tab/>
            </w:r>
            <w:r>
              <w:rPr>
                <w:rFonts w:hint="cs"/>
                <w:sz w:val="24"/>
                <w:szCs w:val="24"/>
                <w:rtl/>
              </w:rPr>
              <w:t>(1)</w:t>
            </w:r>
            <w:r>
              <w:rPr>
                <w:sz w:val="24"/>
                <w:szCs w:val="24"/>
                <w:rtl/>
              </w:rPr>
              <w:tab/>
            </w:r>
            <w:r>
              <w:rPr>
                <w:rFonts w:hint="cs"/>
                <w:sz w:val="24"/>
                <w:szCs w:val="24"/>
                <w:rtl/>
              </w:rPr>
              <w:t xml:space="preserve">היה לשוטר חשד סביר שאדם עומד לבצע עבירת אלימות נגד אחר, רשאי הוא לערוך חיפוש על גופו של אדם כדי לבדוק אם הוא נושא עמו שלא כדין נשק; לעניין סעיף זה </w:t>
            </w:r>
            <w:r>
              <w:rPr>
                <w:sz w:val="24"/>
                <w:szCs w:val="24"/>
                <w:rtl/>
              </w:rPr>
              <w:t>–</w:t>
            </w:r>
            <w:r>
              <w:rPr>
                <w:rFonts w:hint="cs"/>
                <w:sz w:val="24"/>
                <w:szCs w:val="24"/>
                <w:rtl/>
              </w:rPr>
              <w:t xml:space="preserve"> יראו חשד סביר כאמור, בין היתר, אם במקום ציבורי, האדם מתנהג באופן </w:t>
            </w:r>
            <w:r w:rsidRPr="00B21D1E">
              <w:rPr>
                <w:rFonts w:hint="eastAsia"/>
                <w:sz w:val="24"/>
                <w:szCs w:val="24"/>
                <w:rtl/>
              </w:rPr>
              <w:t>בריוני</w:t>
            </w:r>
            <w:r w:rsidRPr="00B21D1E">
              <w:rPr>
                <w:sz w:val="24"/>
                <w:szCs w:val="24"/>
                <w:rtl/>
              </w:rPr>
              <w:t xml:space="preserve">, ובכלל זה </w:t>
            </w:r>
            <w:r>
              <w:rPr>
                <w:rFonts w:hint="cs"/>
                <w:sz w:val="24"/>
                <w:szCs w:val="24"/>
                <w:rtl/>
              </w:rPr>
              <w:t xml:space="preserve">משמיע </w:t>
            </w:r>
            <w:r w:rsidRPr="00B21D1E">
              <w:rPr>
                <w:sz w:val="24"/>
                <w:szCs w:val="24"/>
                <w:rtl/>
              </w:rPr>
              <w:t xml:space="preserve">גידופים </w:t>
            </w:r>
            <w:r>
              <w:rPr>
                <w:rFonts w:hint="cs"/>
                <w:sz w:val="24"/>
                <w:szCs w:val="24"/>
                <w:rtl/>
              </w:rPr>
              <w:t xml:space="preserve">או </w:t>
            </w:r>
            <w:r w:rsidRPr="000A2438">
              <w:rPr>
                <w:rFonts w:hint="cs"/>
                <w:sz w:val="24"/>
                <w:szCs w:val="24"/>
                <w:rtl/>
              </w:rPr>
              <w:t xml:space="preserve">איומים </w:t>
            </w:r>
            <w:r>
              <w:rPr>
                <w:rFonts w:hint="cs"/>
                <w:sz w:val="24"/>
                <w:szCs w:val="24"/>
                <w:rtl/>
              </w:rPr>
              <w:t>או מתנהג באופן מרתיע או מפחיד אחר.</w:t>
            </w:r>
          </w:p>
          <w:p w:rsidR="00B35E1B" w:rsidRDefault="00B35E1B" w:rsidP="00092FC0">
            <w:pPr>
              <w:pStyle w:val="TableBlock"/>
              <w:spacing w:line="240" w:lineRule="auto"/>
              <w:ind w:left="1704"/>
              <w:rPr>
                <w:sz w:val="24"/>
                <w:szCs w:val="24"/>
              </w:rPr>
            </w:pPr>
          </w:p>
          <w:p w:rsidR="00B35E1B" w:rsidRDefault="00B35E1B" w:rsidP="00092FC0">
            <w:pPr>
              <w:pStyle w:val="TableBlock"/>
              <w:spacing w:line="240" w:lineRule="auto"/>
              <w:ind w:left="624"/>
              <w:rPr>
                <w:sz w:val="24"/>
                <w:szCs w:val="24"/>
              </w:rPr>
            </w:pPr>
            <w:r>
              <w:rPr>
                <w:rFonts w:hint="cs"/>
                <w:sz w:val="24"/>
                <w:szCs w:val="24"/>
                <w:rtl/>
              </w:rPr>
              <w:t>(2)</w:t>
            </w:r>
            <w:r>
              <w:rPr>
                <w:sz w:val="24"/>
                <w:szCs w:val="24"/>
                <w:rtl/>
              </w:rPr>
              <w:tab/>
            </w:r>
            <w:r>
              <w:rPr>
                <w:rFonts w:hint="cs"/>
                <w:sz w:val="24"/>
                <w:szCs w:val="24"/>
                <w:rtl/>
              </w:rPr>
              <w:t>התעורר חשד סביר כאמור בפסקה (1) לגבי חבורת אנשים, תחול סמכות החיפוש לגבי כל אחד מהם.</w:t>
            </w:r>
            <w:r w:rsidR="00782C4B">
              <w:rPr>
                <w:rFonts w:hint="cs"/>
                <w:sz w:val="24"/>
                <w:szCs w:val="24"/>
                <w:rtl/>
              </w:rPr>
              <w:t>"</w:t>
            </w:r>
          </w:p>
          <w:p w:rsidR="00B35E1B" w:rsidRPr="003251E0" w:rsidRDefault="00B35E1B" w:rsidP="00092FC0">
            <w:pPr>
              <w:pStyle w:val="TableBlock"/>
              <w:spacing w:line="240" w:lineRule="auto"/>
              <w:ind w:left="984"/>
              <w:rPr>
                <w:sz w:val="24"/>
                <w:szCs w:val="24"/>
                <w:rtl/>
              </w:rPr>
            </w:pPr>
          </w:p>
        </w:tc>
      </w:tr>
      <w:tr w:rsidR="00B35E1B" w:rsidRPr="003251E0" w:rsidTr="00092FC0">
        <w:trPr>
          <w:cantSplit/>
        </w:trPr>
        <w:tc>
          <w:tcPr>
            <w:tcW w:w="1612" w:type="dxa"/>
            <w:shd w:val="clear" w:color="auto" w:fill="auto"/>
            <w:tcMar>
              <w:top w:w="91" w:type="dxa"/>
              <w:left w:w="0" w:type="dxa"/>
              <w:bottom w:w="91" w:type="dxa"/>
              <w:right w:w="0" w:type="dxa"/>
            </w:tcMar>
          </w:tcPr>
          <w:p w:rsidR="00B35E1B" w:rsidRPr="003251E0" w:rsidRDefault="00B35E1B" w:rsidP="00092FC0">
            <w:pPr>
              <w:pStyle w:val="TableSideHeading"/>
              <w:spacing w:line="240" w:lineRule="auto"/>
              <w:rPr>
                <w:sz w:val="24"/>
                <w:szCs w:val="24"/>
                <w:rtl/>
              </w:rPr>
            </w:pPr>
            <w:r w:rsidRPr="003251E0">
              <w:rPr>
                <w:rFonts w:hint="eastAsia"/>
                <w:sz w:val="24"/>
                <w:szCs w:val="24"/>
                <w:rtl/>
              </w:rPr>
              <w:t>הוספת</w:t>
            </w:r>
            <w:r w:rsidRPr="003251E0">
              <w:rPr>
                <w:sz w:val="24"/>
                <w:szCs w:val="24"/>
                <w:rtl/>
              </w:rPr>
              <w:t xml:space="preserve"> </w:t>
            </w:r>
            <w:r w:rsidRPr="003251E0">
              <w:rPr>
                <w:rFonts w:hint="eastAsia"/>
                <w:sz w:val="24"/>
                <w:szCs w:val="24"/>
                <w:rtl/>
              </w:rPr>
              <w:t>סעיף</w:t>
            </w:r>
            <w:r w:rsidRPr="003251E0">
              <w:rPr>
                <w:sz w:val="24"/>
                <w:szCs w:val="24"/>
                <w:rtl/>
              </w:rPr>
              <w:t xml:space="preserve"> 6</w:t>
            </w:r>
            <w:r w:rsidRPr="003251E0">
              <w:rPr>
                <w:rFonts w:hint="eastAsia"/>
                <w:sz w:val="24"/>
                <w:szCs w:val="24"/>
                <w:rtl/>
              </w:rPr>
              <w:t>ב</w:t>
            </w:r>
            <w:r w:rsidRPr="003251E0">
              <w:rPr>
                <w:rFonts w:hint="cs"/>
                <w:sz w:val="24"/>
                <w:szCs w:val="24"/>
                <w:rtl/>
              </w:rPr>
              <w:t xml:space="preserve"> </w:t>
            </w:r>
            <w:r w:rsidRPr="003251E0">
              <w:rPr>
                <w:sz w:val="24"/>
                <w:szCs w:val="24"/>
                <w:rtl/>
              </w:rPr>
              <w:t>–</w:t>
            </w:r>
            <w:r w:rsidRPr="003251E0">
              <w:rPr>
                <w:rFonts w:hint="cs"/>
                <w:sz w:val="24"/>
                <w:szCs w:val="24"/>
                <w:rtl/>
              </w:rPr>
              <w:t xml:space="preserve"> הוראת שעה</w:t>
            </w: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r w:rsidRPr="003251E0">
              <w:rPr>
                <w:sz w:val="24"/>
                <w:szCs w:val="24"/>
                <w:rtl/>
              </w:rPr>
              <w:t>2.</w:t>
            </w:r>
          </w:p>
        </w:tc>
        <w:tc>
          <w:tcPr>
            <w:tcW w:w="6160" w:type="dxa"/>
            <w:gridSpan w:val="5"/>
            <w:shd w:val="clear" w:color="auto" w:fill="auto"/>
            <w:tcMar>
              <w:top w:w="91" w:type="dxa"/>
              <w:left w:w="0" w:type="dxa"/>
              <w:bottom w:w="91" w:type="dxa"/>
              <w:right w:w="0" w:type="dxa"/>
            </w:tcMar>
          </w:tcPr>
          <w:p w:rsidR="00B35E1B" w:rsidRPr="003251E0" w:rsidRDefault="00B35E1B" w:rsidP="00092FC0">
            <w:pPr>
              <w:pStyle w:val="TableBlock"/>
              <w:spacing w:line="240" w:lineRule="auto"/>
              <w:rPr>
                <w:sz w:val="24"/>
                <w:szCs w:val="24"/>
                <w:rtl/>
              </w:rPr>
            </w:pPr>
            <w:r w:rsidRPr="003251E0">
              <w:rPr>
                <w:rFonts w:hint="cs"/>
                <w:sz w:val="24"/>
                <w:szCs w:val="24"/>
                <w:rtl/>
              </w:rPr>
              <w:t xml:space="preserve">בתקופה שמיום תחילתו של חוק זה </w:t>
            </w:r>
            <w:r>
              <w:rPr>
                <w:rFonts w:hint="cs"/>
                <w:sz w:val="26"/>
                <w:rtl/>
              </w:rPr>
              <w:t xml:space="preserve">ועד יום י"ג בטבת התשע"ח (31 בדצמבר 2017) </w:t>
            </w:r>
            <w:r w:rsidRPr="003251E0">
              <w:rPr>
                <w:rFonts w:hint="cs"/>
                <w:sz w:val="18"/>
                <w:szCs w:val="24"/>
                <w:rtl/>
              </w:rPr>
              <w:t>יקראו את החוק העיקרי כך ש</w:t>
            </w:r>
            <w:r w:rsidRPr="003251E0">
              <w:rPr>
                <w:rFonts w:hint="eastAsia"/>
                <w:sz w:val="24"/>
                <w:szCs w:val="24"/>
                <w:rtl/>
              </w:rPr>
              <w:t>אחרי</w:t>
            </w:r>
            <w:r w:rsidRPr="003251E0">
              <w:rPr>
                <w:sz w:val="24"/>
                <w:szCs w:val="24"/>
                <w:rtl/>
              </w:rPr>
              <w:t xml:space="preserve"> </w:t>
            </w:r>
            <w:r w:rsidRPr="003251E0">
              <w:rPr>
                <w:rFonts w:hint="eastAsia"/>
                <w:sz w:val="24"/>
                <w:szCs w:val="24"/>
                <w:rtl/>
              </w:rPr>
              <w:t>סעיף</w:t>
            </w:r>
            <w:r w:rsidRPr="003251E0">
              <w:rPr>
                <w:sz w:val="24"/>
                <w:szCs w:val="24"/>
                <w:rtl/>
              </w:rPr>
              <w:t xml:space="preserve"> 6</w:t>
            </w:r>
            <w:r w:rsidRPr="003251E0">
              <w:rPr>
                <w:rFonts w:hint="eastAsia"/>
                <w:sz w:val="24"/>
                <w:szCs w:val="24"/>
                <w:rtl/>
              </w:rPr>
              <w:t>א</w:t>
            </w:r>
            <w:r w:rsidRPr="003251E0">
              <w:rPr>
                <w:sz w:val="24"/>
                <w:szCs w:val="24"/>
                <w:rtl/>
              </w:rPr>
              <w:t xml:space="preserve"> </w:t>
            </w:r>
            <w:r w:rsidRPr="003251E0">
              <w:rPr>
                <w:rFonts w:hint="eastAsia"/>
                <w:sz w:val="24"/>
                <w:szCs w:val="24"/>
                <w:rtl/>
              </w:rPr>
              <w:t>יבוא</w:t>
            </w:r>
            <w:r w:rsidRPr="003251E0">
              <w:rPr>
                <w:sz w:val="24"/>
                <w:szCs w:val="24"/>
                <w:rtl/>
              </w:rPr>
              <w:t>:</w:t>
            </w:r>
          </w:p>
        </w:tc>
      </w:tr>
      <w:tr w:rsidR="00B35E1B" w:rsidRPr="003251E0" w:rsidTr="00092FC0">
        <w:trPr>
          <w:cantSplit/>
        </w:trPr>
        <w:tc>
          <w:tcPr>
            <w:tcW w:w="1612" w:type="dxa"/>
            <w:shd w:val="clear" w:color="auto" w:fill="auto"/>
            <w:tcMar>
              <w:top w:w="91" w:type="dxa"/>
              <w:left w:w="0" w:type="dxa"/>
              <w:bottom w:w="91" w:type="dxa"/>
              <w:right w:w="0" w:type="dxa"/>
            </w:tcMar>
          </w:tcPr>
          <w:p w:rsidR="00B35E1B" w:rsidRPr="003251E0" w:rsidRDefault="00B35E1B" w:rsidP="00092FC0">
            <w:pPr>
              <w:pStyle w:val="TableSideHeading"/>
              <w:spacing w:line="240" w:lineRule="auto"/>
              <w:rPr>
                <w:sz w:val="24"/>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1618" w:type="dxa"/>
            <w:gridSpan w:val="3"/>
            <w:shd w:val="clear" w:color="auto" w:fill="auto"/>
            <w:tcMar>
              <w:top w:w="91" w:type="dxa"/>
              <w:left w:w="0" w:type="dxa"/>
              <w:bottom w:w="91" w:type="dxa"/>
              <w:right w:w="0" w:type="dxa"/>
            </w:tcMar>
          </w:tcPr>
          <w:p w:rsidR="00B35E1B" w:rsidRPr="003251E0" w:rsidRDefault="00B35E1B" w:rsidP="00092FC0">
            <w:pPr>
              <w:pStyle w:val="TableInnerSideHeading"/>
              <w:spacing w:line="240" w:lineRule="auto"/>
              <w:rPr>
                <w:sz w:val="24"/>
                <w:szCs w:val="24"/>
                <w:rtl/>
              </w:rPr>
            </w:pPr>
            <w:r w:rsidRPr="003251E0">
              <w:rPr>
                <w:sz w:val="24"/>
                <w:szCs w:val="24"/>
                <w:rtl/>
              </w:rPr>
              <w:t>"</w:t>
            </w:r>
            <w:r w:rsidRPr="003251E0">
              <w:rPr>
                <w:rFonts w:hint="eastAsia"/>
                <w:sz w:val="24"/>
                <w:szCs w:val="24"/>
                <w:rtl/>
              </w:rPr>
              <w:t>סמכות</w:t>
            </w:r>
            <w:r w:rsidRPr="003251E0">
              <w:rPr>
                <w:sz w:val="24"/>
                <w:szCs w:val="24"/>
                <w:rtl/>
              </w:rPr>
              <w:t xml:space="preserve"> </w:t>
            </w:r>
            <w:r w:rsidRPr="003251E0">
              <w:rPr>
                <w:rFonts w:hint="eastAsia"/>
                <w:sz w:val="24"/>
                <w:szCs w:val="24"/>
                <w:rtl/>
              </w:rPr>
              <w:t>שוטר</w:t>
            </w:r>
            <w:r w:rsidRPr="003251E0">
              <w:rPr>
                <w:sz w:val="24"/>
                <w:szCs w:val="24"/>
                <w:rtl/>
              </w:rPr>
              <w:t xml:space="preserve"> </w:t>
            </w:r>
            <w:r w:rsidRPr="003251E0">
              <w:rPr>
                <w:rFonts w:hint="eastAsia"/>
                <w:sz w:val="24"/>
                <w:szCs w:val="24"/>
                <w:rtl/>
              </w:rPr>
              <w:t>לחיפוש</w:t>
            </w:r>
            <w:r w:rsidRPr="003251E0">
              <w:rPr>
                <w:sz w:val="24"/>
                <w:szCs w:val="24"/>
                <w:rtl/>
              </w:rPr>
              <w:t xml:space="preserve"> </w:t>
            </w:r>
            <w:r w:rsidRPr="003251E0">
              <w:rPr>
                <w:rFonts w:hint="eastAsia"/>
                <w:sz w:val="24"/>
                <w:szCs w:val="24"/>
                <w:rtl/>
              </w:rPr>
              <w:t>על</w:t>
            </w:r>
            <w:r w:rsidRPr="003251E0">
              <w:rPr>
                <w:sz w:val="24"/>
                <w:szCs w:val="24"/>
                <w:rtl/>
              </w:rPr>
              <w:t xml:space="preserve"> </w:t>
            </w:r>
            <w:r w:rsidRPr="003251E0">
              <w:rPr>
                <w:rFonts w:hint="eastAsia"/>
                <w:sz w:val="24"/>
                <w:szCs w:val="24"/>
                <w:rtl/>
              </w:rPr>
              <w:t>גופו</w:t>
            </w:r>
            <w:r w:rsidRPr="003251E0">
              <w:rPr>
                <w:sz w:val="24"/>
                <w:szCs w:val="24"/>
                <w:rtl/>
              </w:rPr>
              <w:t xml:space="preserve"> </w:t>
            </w:r>
            <w:r w:rsidRPr="003251E0">
              <w:rPr>
                <w:rFonts w:hint="eastAsia"/>
                <w:sz w:val="24"/>
                <w:szCs w:val="24"/>
                <w:rtl/>
              </w:rPr>
              <w:t>של</w:t>
            </w:r>
            <w:r w:rsidRPr="003251E0">
              <w:rPr>
                <w:sz w:val="24"/>
                <w:szCs w:val="24"/>
                <w:rtl/>
              </w:rPr>
              <w:t xml:space="preserve"> </w:t>
            </w:r>
            <w:r w:rsidRPr="003251E0">
              <w:rPr>
                <w:rFonts w:hint="eastAsia"/>
                <w:sz w:val="24"/>
                <w:szCs w:val="24"/>
                <w:rtl/>
              </w:rPr>
              <w:t>אדם</w:t>
            </w:r>
            <w:r w:rsidRPr="003251E0">
              <w:rPr>
                <w:sz w:val="24"/>
                <w:szCs w:val="24"/>
                <w:rtl/>
              </w:rPr>
              <w:t xml:space="preserve"> </w:t>
            </w:r>
            <w:r w:rsidRPr="003251E0">
              <w:rPr>
                <w:rFonts w:hint="cs"/>
                <w:sz w:val="24"/>
                <w:szCs w:val="24"/>
                <w:rtl/>
              </w:rPr>
              <w:t xml:space="preserve"> ב</w:t>
            </w:r>
            <w:r>
              <w:rPr>
                <w:rFonts w:hint="cs"/>
                <w:sz w:val="24"/>
                <w:szCs w:val="24"/>
                <w:rtl/>
              </w:rPr>
              <w:t>אזור</w:t>
            </w:r>
            <w:r w:rsidRPr="003251E0">
              <w:rPr>
                <w:rFonts w:hint="cs"/>
                <w:sz w:val="24"/>
                <w:szCs w:val="24"/>
                <w:rtl/>
              </w:rPr>
              <w:t xml:space="preserve"> מועד לפעילות חבלנית עוינת</w:t>
            </w: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r w:rsidRPr="003251E0">
              <w:rPr>
                <w:sz w:val="24"/>
                <w:szCs w:val="24"/>
                <w:rtl/>
              </w:rPr>
              <w:t>6</w:t>
            </w:r>
            <w:r w:rsidRPr="003251E0">
              <w:rPr>
                <w:rFonts w:hint="eastAsia"/>
                <w:sz w:val="24"/>
                <w:szCs w:val="24"/>
                <w:rtl/>
              </w:rPr>
              <w:t>ב</w:t>
            </w:r>
            <w:r w:rsidRPr="003251E0">
              <w:rPr>
                <w:sz w:val="24"/>
                <w:szCs w:val="24"/>
                <w:rtl/>
              </w:rPr>
              <w:t>.</w:t>
            </w:r>
          </w:p>
        </w:tc>
        <w:tc>
          <w:tcPr>
            <w:tcW w:w="4003" w:type="dxa"/>
            <w:shd w:val="clear" w:color="auto" w:fill="auto"/>
            <w:tcMar>
              <w:top w:w="91" w:type="dxa"/>
              <w:left w:w="0" w:type="dxa"/>
              <w:bottom w:w="91" w:type="dxa"/>
              <w:right w:w="0" w:type="dxa"/>
            </w:tcMar>
          </w:tcPr>
          <w:p w:rsidR="00B35E1B" w:rsidRPr="003251E0" w:rsidRDefault="00B35E1B" w:rsidP="00092FC0">
            <w:pPr>
              <w:pStyle w:val="TableBlock"/>
              <w:spacing w:line="240" w:lineRule="auto"/>
              <w:rPr>
                <w:sz w:val="24"/>
                <w:szCs w:val="24"/>
                <w:rtl/>
              </w:rPr>
            </w:pPr>
            <w:r w:rsidRPr="003251E0">
              <w:rPr>
                <w:sz w:val="24"/>
                <w:szCs w:val="24"/>
                <w:rtl/>
              </w:rPr>
              <w:t>(</w:t>
            </w:r>
            <w:r>
              <w:rPr>
                <w:rFonts w:hint="cs"/>
                <w:sz w:val="24"/>
                <w:szCs w:val="24"/>
                <w:rtl/>
              </w:rPr>
              <w:t>א</w:t>
            </w:r>
            <w:r w:rsidRPr="003251E0">
              <w:rPr>
                <w:sz w:val="24"/>
                <w:szCs w:val="24"/>
                <w:rtl/>
              </w:rPr>
              <w:t>)</w:t>
            </w:r>
            <w:r w:rsidRPr="003251E0">
              <w:rPr>
                <w:sz w:val="24"/>
                <w:szCs w:val="24"/>
                <w:rtl/>
              </w:rPr>
              <w:tab/>
            </w:r>
            <w:r w:rsidRPr="003251E0">
              <w:rPr>
                <w:rFonts w:hint="eastAsia"/>
                <w:sz w:val="24"/>
                <w:szCs w:val="24"/>
                <w:rtl/>
              </w:rPr>
              <w:t>מפקד</w:t>
            </w:r>
            <w:r w:rsidRPr="003251E0">
              <w:rPr>
                <w:sz w:val="24"/>
                <w:szCs w:val="24"/>
                <w:rtl/>
              </w:rPr>
              <w:t xml:space="preserve"> </w:t>
            </w:r>
            <w:r w:rsidRPr="003251E0">
              <w:rPr>
                <w:rFonts w:hint="eastAsia"/>
                <w:sz w:val="24"/>
                <w:szCs w:val="24"/>
                <w:rtl/>
              </w:rPr>
              <w:t>מחוז</w:t>
            </w:r>
            <w:r w:rsidRPr="003251E0">
              <w:rPr>
                <w:sz w:val="24"/>
                <w:szCs w:val="24"/>
                <w:rtl/>
              </w:rPr>
              <w:t xml:space="preserve"> </w:t>
            </w:r>
            <w:r w:rsidRPr="003251E0">
              <w:rPr>
                <w:rFonts w:hint="eastAsia"/>
                <w:sz w:val="24"/>
                <w:szCs w:val="24"/>
                <w:rtl/>
              </w:rPr>
              <w:t>במשטרת</w:t>
            </w:r>
            <w:r w:rsidRPr="003251E0">
              <w:rPr>
                <w:sz w:val="24"/>
                <w:szCs w:val="24"/>
                <w:rtl/>
              </w:rPr>
              <w:t xml:space="preserve"> </w:t>
            </w:r>
            <w:r w:rsidRPr="003251E0">
              <w:rPr>
                <w:rFonts w:hint="eastAsia"/>
                <w:sz w:val="24"/>
                <w:szCs w:val="24"/>
                <w:rtl/>
              </w:rPr>
              <w:t>ישראל</w:t>
            </w:r>
            <w:r w:rsidRPr="003251E0">
              <w:rPr>
                <w:sz w:val="24"/>
                <w:szCs w:val="24"/>
                <w:rtl/>
              </w:rPr>
              <w:t xml:space="preserve"> </w:t>
            </w:r>
            <w:r w:rsidRPr="003251E0">
              <w:rPr>
                <w:rFonts w:hint="eastAsia"/>
                <w:sz w:val="24"/>
                <w:szCs w:val="24"/>
                <w:rtl/>
              </w:rPr>
              <w:t>רשאי</w:t>
            </w:r>
            <w:r w:rsidRPr="003251E0">
              <w:rPr>
                <w:sz w:val="24"/>
                <w:szCs w:val="24"/>
                <w:rtl/>
              </w:rPr>
              <w:t xml:space="preserve"> </w:t>
            </w:r>
            <w:r w:rsidRPr="003251E0">
              <w:rPr>
                <w:rFonts w:hint="eastAsia"/>
                <w:sz w:val="24"/>
                <w:szCs w:val="24"/>
                <w:rtl/>
              </w:rPr>
              <w:t>להכריז</w:t>
            </w:r>
            <w:r w:rsidRPr="003251E0">
              <w:rPr>
                <w:sz w:val="24"/>
                <w:szCs w:val="24"/>
                <w:rtl/>
              </w:rPr>
              <w:t xml:space="preserve"> </w:t>
            </w:r>
            <w:r w:rsidRPr="003251E0">
              <w:rPr>
                <w:rFonts w:hint="eastAsia"/>
                <w:sz w:val="24"/>
                <w:szCs w:val="24"/>
                <w:rtl/>
              </w:rPr>
              <w:t>על</w:t>
            </w:r>
            <w:r w:rsidRPr="003251E0">
              <w:rPr>
                <w:sz w:val="24"/>
                <w:szCs w:val="24"/>
                <w:rtl/>
              </w:rPr>
              <w:t xml:space="preserve"> </w:t>
            </w:r>
            <w:r>
              <w:rPr>
                <w:rFonts w:hint="cs"/>
                <w:sz w:val="24"/>
                <w:szCs w:val="24"/>
                <w:rtl/>
              </w:rPr>
              <w:t>אזור</w:t>
            </w:r>
            <w:r w:rsidRPr="003251E0">
              <w:rPr>
                <w:sz w:val="24"/>
                <w:szCs w:val="24"/>
                <w:rtl/>
              </w:rPr>
              <w:t xml:space="preserve"> </w:t>
            </w:r>
            <w:r w:rsidRPr="003251E0">
              <w:rPr>
                <w:rFonts w:hint="eastAsia"/>
                <w:sz w:val="24"/>
                <w:szCs w:val="24"/>
                <w:rtl/>
              </w:rPr>
              <w:t>שקיים</w:t>
            </w:r>
            <w:r w:rsidRPr="003251E0">
              <w:rPr>
                <w:sz w:val="24"/>
                <w:szCs w:val="24"/>
                <w:rtl/>
              </w:rPr>
              <w:t xml:space="preserve"> </w:t>
            </w:r>
            <w:r w:rsidRPr="003251E0">
              <w:rPr>
                <w:rFonts w:hint="cs"/>
                <w:sz w:val="24"/>
                <w:szCs w:val="24"/>
                <w:rtl/>
              </w:rPr>
              <w:t xml:space="preserve">לגביו חשש ממשי שעלולה להתבצע </w:t>
            </w:r>
            <w:r w:rsidRPr="003251E0">
              <w:rPr>
                <w:rFonts w:hint="eastAsia"/>
                <w:sz w:val="24"/>
                <w:szCs w:val="24"/>
                <w:rtl/>
              </w:rPr>
              <w:t>בו</w:t>
            </w:r>
            <w:r w:rsidRPr="003251E0">
              <w:rPr>
                <w:rFonts w:hint="cs"/>
                <w:sz w:val="24"/>
                <w:szCs w:val="24"/>
                <w:rtl/>
              </w:rPr>
              <w:t xml:space="preserve"> פעילות חבלנית עוינת </w:t>
            </w:r>
            <w:r w:rsidRPr="003251E0">
              <w:rPr>
                <w:rFonts w:hint="eastAsia"/>
                <w:sz w:val="24"/>
                <w:szCs w:val="24"/>
                <w:rtl/>
              </w:rPr>
              <w:t>כמקום</w:t>
            </w:r>
            <w:r w:rsidRPr="003251E0">
              <w:rPr>
                <w:sz w:val="24"/>
                <w:szCs w:val="24"/>
                <w:rtl/>
              </w:rPr>
              <w:t xml:space="preserve"> </w:t>
            </w:r>
            <w:r w:rsidRPr="003251E0">
              <w:rPr>
                <w:rFonts w:hint="eastAsia"/>
                <w:sz w:val="24"/>
                <w:szCs w:val="24"/>
                <w:rtl/>
              </w:rPr>
              <w:t>שבו</w:t>
            </w:r>
            <w:r w:rsidRPr="003251E0">
              <w:rPr>
                <w:sz w:val="24"/>
                <w:szCs w:val="24"/>
                <w:rtl/>
              </w:rPr>
              <w:t xml:space="preserve"> </w:t>
            </w:r>
            <w:r w:rsidRPr="003251E0">
              <w:rPr>
                <w:rFonts w:hint="cs"/>
                <w:sz w:val="24"/>
                <w:szCs w:val="24"/>
                <w:rtl/>
              </w:rPr>
              <w:t>רשאי</w:t>
            </w:r>
            <w:r w:rsidRPr="003251E0">
              <w:rPr>
                <w:sz w:val="24"/>
                <w:szCs w:val="24"/>
                <w:rtl/>
              </w:rPr>
              <w:t xml:space="preserve"> </w:t>
            </w:r>
            <w:r w:rsidRPr="003251E0">
              <w:rPr>
                <w:rFonts w:hint="eastAsia"/>
                <w:sz w:val="24"/>
                <w:szCs w:val="24"/>
                <w:rtl/>
              </w:rPr>
              <w:t>שוטר</w:t>
            </w:r>
            <w:r w:rsidRPr="003251E0">
              <w:rPr>
                <w:sz w:val="24"/>
                <w:szCs w:val="24"/>
                <w:rtl/>
              </w:rPr>
              <w:t xml:space="preserve"> ל</w:t>
            </w:r>
            <w:r w:rsidRPr="003251E0">
              <w:rPr>
                <w:rFonts w:hint="cs"/>
                <w:sz w:val="24"/>
                <w:szCs w:val="24"/>
                <w:rtl/>
              </w:rPr>
              <w:t xml:space="preserve">ערוך חיפוש על גופו של אדם </w:t>
            </w:r>
            <w:r>
              <w:rPr>
                <w:rFonts w:hint="cs"/>
                <w:sz w:val="24"/>
                <w:szCs w:val="24"/>
                <w:rtl/>
              </w:rPr>
              <w:t xml:space="preserve">כדי לבדוק </w:t>
            </w:r>
            <w:r w:rsidRPr="003251E0">
              <w:rPr>
                <w:sz w:val="24"/>
                <w:szCs w:val="24"/>
                <w:rtl/>
              </w:rPr>
              <w:t xml:space="preserve">אם </w:t>
            </w:r>
            <w:r>
              <w:rPr>
                <w:rFonts w:hint="cs"/>
                <w:sz w:val="24"/>
                <w:szCs w:val="24"/>
                <w:rtl/>
              </w:rPr>
              <w:t xml:space="preserve">הוא </w:t>
            </w:r>
            <w:r w:rsidRPr="003251E0">
              <w:rPr>
                <w:sz w:val="24"/>
                <w:szCs w:val="24"/>
                <w:rtl/>
              </w:rPr>
              <w:t>נושא עמו שלא כדין נשק</w:t>
            </w:r>
            <w:r w:rsidRPr="003251E0">
              <w:rPr>
                <w:rFonts w:hint="cs"/>
                <w:sz w:val="24"/>
                <w:szCs w:val="24"/>
                <w:rtl/>
              </w:rPr>
              <w:t xml:space="preserve"> (</w:t>
            </w:r>
            <w:r>
              <w:rPr>
                <w:rFonts w:hint="cs"/>
                <w:sz w:val="24"/>
                <w:szCs w:val="24"/>
                <w:rtl/>
              </w:rPr>
              <w:t xml:space="preserve">בסעיף זה </w:t>
            </w:r>
            <w:r w:rsidRPr="003251E0">
              <w:rPr>
                <w:sz w:val="24"/>
                <w:szCs w:val="24"/>
                <w:rtl/>
              </w:rPr>
              <w:t>–</w:t>
            </w:r>
            <w:r w:rsidRPr="003251E0">
              <w:rPr>
                <w:rFonts w:hint="cs"/>
                <w:sz w:val="24"/>
                <w:szCs w:val="24"/>
                <w:rtl/>
              </w:rPr>
              <w:t xml:space="preserve"> מטרת החיפוש)</w:t>
            </w:r>
            <w:r w:rsidRPr="003251E0">
              <w:rPr>
                <w:sz w:val="24"/>
                <w:szCs w:val="24"/>
                <w:rtl/>
              </w:rPr>
              <w:t>, אף אם לא קיים נגד</w:t>
            </w:r>
            <w:r>
              <w:rPr>
                <w:rFonts w:hint="cs"/>
                <w:sz w:val="24"/>
                <w:szCs w:val="24"/>
                <w:rtl/>
              </w:rPr>
              <w:t>ו</w:t>
            </w:r>
            <w:r w:rsidRPr="003251E0">
              <w:rPr>
                <w:sz w:val="24"/>
                <w:szCs w:val="24"/>
                <w:rtl/>
              </w:rPr>
              <w:t xml:space="preserve"> חשד </w:t>
            </w:r>
            <w:r w:rsidRPr="003251E0">
              <w:rPr>
                <w:rFonts w:hint="cs"/>
                <w:sz w:val="24"/>
                <w:szCs w:val="24"/>
                <w:rtl/>
              </w:rPr>
              <w:t xml:space="preserve">סביר </w:t>
            </w:r>
            <w:r w:rsidRPr="003251E0">
              <w:rPr>
                <w:sz w:val="24"/>
                <w:szCs w:val="24"/>
                <w:rtl/>
              </w:rPr>
              <w:t>כאמור בסעיף 3(ב)</w:t>
            </w:r>
            <w:r w:rsidRPr="003251E0">
              <w:rPr>
                <w:rFonts w:hint="cs"/>
                <w:sz w:val="24"/>
                <w:szCs w:val="24"/>
                <w:rtl/>
              </w:rPr>
              <w:t xml:space="preserve"> או (ב1)</w:t>
            </w:r>
            <w:r w:rsidRPr="003251E0">
              <w:rPr>
                <w:sz w:val="24"/>
                <w:szCs w:val="24"/>
                <w:rtl/>
              </w:rPr>
              <w:t>; על חיפוש כאמור יחולו הוראות סעיף 3(ג)</w:t>
            </w:r>
            <w:r>
              <w:rPr>
                <w:rFonts w:hint="cs"/>
                <w:sz w:val="24"/>
                <w:szCs w:val="24"/>
                <w:rtl/>
              </w:rPr>
              <w:t xml:space="preserve"> ו-(ד)</w:t>
            </w:r>
            <w:r w:rsidRPr="003251E0">
              <w:rPr>
                <w:rFonts w:hint="cs"/>
                <w:sz w:val="24"/>
                <w:szCs w:val="24"/>
                <w:rtl/>
              </w:rPr>
              <w:t>.</w:t>
            </w:r>
          </w:p>
        </w:tc>
      </w:tr>
      <w:tr w:rsidR="00B35E1B" w:rsidRPr="003251E0" w:rsidTr="00092FC0">
        <w:trPr>
          <w:cantSplit/>
        </w:trPr>
        <w:tc>
          <w:tcPr>
            <w:tcW w:w="1612" w:type="dxa"/>
            <w:shd w:val="clear" w:color="auto" w:fill="auto"/>
            <w:tcMar>
              <w:top w:w="91" w:type="dxa"/>
              <w:left w:w="0" w:type="dxa"/>
              <w:bottom w:w="91" w:type="dxa"/>
              <w:right w:w="0" w:type="dxa"/>
            </w:tcMar>
          </w:tcPr>
          <w:p w:rsidR="00B35E1B" w:rsidRPr="003251E0" w:rsidRDefault="00B35E1B" w:rsidP="00092FC0">
            <w:pPr>
              <w:pStyle w:val="TableSideHeading"/>
              <w:spacing w:line="240" w:lineRule="auto"/>
              <w:rPr>
                <w:sz w:val="24"/>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18"/>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4442CE" w:rsidRDefault="00B35E1B" w:rsidP="00092FC0">
            <w:pPr>
              <w:pStyle w:val="TableText"/>
              <w:spacing w:line="240" w:lineRule="auto"/>
              <w:rPr>
                <w:sz w:val="24"/>
                <w:szCs w:val="24"/>
                <w:rtl/>
              </w:rPr>
            </w:pPr>
          </w:p>
        </w:tc>
        <w:tc>
          <w:tcPr>
            <w:tcW w:w="4003" w:type="dxa"/>
            <w:shd w:val="clear" w:color="auto" w:fill="auto"/>
            <w:tcMar>
              <w:top w:w="91" w:type="dxa"/>
              <w:left w:w="0" w:type="dxa"/>
              <w:bottom w:w="91" w:type="dxa"/>
              <w:right w:w="0" w:type="dxa"/>
            </w:tcMar>
          </w:tcPr>
          <w:p w:rsidR="00B35E1B" w:rsidRPr="00B76477" w:rsidRDefault="00B35E1B" w:rsidP="00092FC0">
            <w:pPr>
              <w:pStyle w:val="TableBlock"/>
              <w:spacing w:line="240" w:lineRule="auto"/>
              <w:rPr>
                <w:sz w:val="26"/>
                <w:rtl/>
              </w:rPr>
            </w:pPr>
            <w:r w:rsidRPr="004442CE">
              <w:rPr>
                <w:rFonts w:hint="cs"/>
                <w:sz w:val="24"/>
                <w:szCs w:val="24"/>
                <w:rtl/>
              </w:rPr>
              <w:t>(ב)</w:t>
            </w:r>
            <w:r w:rsidRPr="004442CE">
              <w:rPr>
                <w:sz w:val="24"/>
                <w:szCs w:val="24"/>
                <w:rtl/>
              </w:rPr>
              <w:tab/>
            </w:r>
            <w:r w:rsidRPr="004442CE">
              <w:rPr>
                <w:rFonts w:hint="eastAsia"/>
                <w:sz w:val="24"/>
                <w:szCs w:val="24"/>
                <w:rtl/>
              </w:rPr>
              <w:t>בהכרזה</w:t>
            </w:r>
            <w:r w:rsidRPr="004442CE">
              <w:rPr>
                <w:sz w:val="24"/>
                <w:szCs w:val="24"/>
                <w:rtl/>
              </w:rPr>
              <w:t xml:space="preserve"> כאמור</w:t>
            </w:r>
            <w:r>
              <w:rPr>
                <w:rFonts w:hint="cs"/>
                <w:sz w:val="24"/>
                <w:szCs w:val="24"/>
                <w:rtl/>
              </w:rPr>
              <w:t xml:space="preserve"> בסעיף קטן (א)</w:t>
            </w:r>
            <w:r w:rsidRPr="004442CE">
              <w:rPr>
                <w:sz w:val="24"/>
                <w:szCs w:val="24"/>
                <w:rtl/>
              </w:rPr>
              <w:t xml:space="preserve"> </w:t>
            </w:r>
            <w:r w:rsidRPr="004442CE">
              <w:rPr>
                <w:rFonts w:hint="eastAsia"/>
                <w:sz w:val="24"/>
                <w:szCs w:val="24"/>
                <w:rtl/>
              </w:rPr>
              <w:t>ייקבע</w:t>
            </w:r>
            <w:r>
              <w:rPr>
                <w:rFonts w:hint="cs"/>
                <w:sz w:val="24"/>
                <w:szCs w:val="24"/>
                <w:rtl/>
              </w:rPr>
              <w:t>ו</w:t>
            </w:r>
            <w:r w:rsidRPr="004442CE">
              <w:rPr>
                <w:sz w:val="24"/>
                <w:szCs w:val="24"/>
                <w:rtl/>
              </w:rPr>
              <w:t xml:space="preserve"> </w:t>
            </w:r>
            <w:r w:rsidRPr="004442CE">
              <w:rPr>
                <w:rFonts w:hint="eastAsia"/>
                <w:sz w:val="24"/>
                <w:szCs w:val="24"/>
                <w:rtl/>
              </w:rPr>
              <w:t>האזור</w:t>
            </w:r>
            <w:r w:rsidRPr="004442CE">
              <w:rPr>
                <w:sz w:val="24"/>
                <w:szCs w:val="24"/>
                <w:rtl/>
              </w:rPr>
              <w:t xml:space="preserve"> שבו קיים </w:t>
            </w:r>
            <w:r w:rsidRPr="004442CE">
              <w:rPr>
                <w:rFonts w:hint="eastAsia"/>
                <w:sz w:val="24"/>
                <w:szCs w:val="24"/>
                <w:rtl/>
              </w:rPr>
              <w:t>החשש</w:t>
            </w:r>
            <w:r w:rsidRPr="004442CE">
              <w:rPr>
                <w:sz w:val="24"/>
                <w:szCs w:val="24"/>
                <w:rtl/>
              </w:rPr>
              <w:t xml:space="preserve"> </w:t>
            </w:r>
            <w:r w:rsidRPr="004442CE">
              <w:rPr>
                <w:rFonts w:hint="eastAsia"/>
                <w:sz w:val="24"/>
                <w:szCs w:val="24"/>
                <w:rtl/>
              </w:rPr>
              <w:t>לפעילות</w:t>
            </w:r>
            <w:r w:rsidRPr="004442CE">
              <w:rPr>
                <w:sz w:val="24"/>
                <w:szCs w:val="24"/>
                <w:rtl/>
              </w:rPr>
              <w:t xml:space="preserve"> החבלנית העוינת,  </w:t>
            </w:r>
            <w:r w:rsidRPr="004442CE">
              <w:rPr>
                <w:rFonts w:hint="eastAsia"/>
                <w:sz w:val="24"/>
                <w:szCs w:val="24"/>
                <w:rtl/>
              </w:rPr>
              <w:t>תקופת</w:t>
            </w:r>
            <w:r w:rsidRPr="004442CE">
              <w:rPr>
                <w:sz w:val="24"/>
                <w:szCs w:val="24"/>
                <w:rtl/>
              </w:rPr>
              <w:t xml:space="preserve"> </w:t>
            </w:r>
            <w:r w:rsidRPr="004442CE">
              <w:rPr>
                <w:rFonts w:hint="eastAsia"/>
                <w:sz w:val="24"/>
                <w:szCs w:val="24"/>
                <w:rtl/>
              </w:rPr>
              <w:t>תוקפה</w:t>
            </w:r>
            <w:r>
              <w:rPr>
                <w:rFonts w:hint="cs"/>
                <w:sz w:val="24"/>
                <w:szCs w:val="24"/>
                <w:rtl/>
              </w:rPr>
              <w:t xml:space="preserve"> של ההכרזה</w:t>
            </w:r>
            <w:r w:rsidRPr="004442CE">
              <w:rPr>
                <w:sz w:val="24"/>
                <w:szCs w:val="24"/>
                <w:rtl/>
              </w:rPr>
              <w:t xml:space="preserve">, </w:t>
            </w:r>
            <w:r>
              <w:rPr>
                <w:rFonts w:hint="cs"/>
                <w:sz w:val="24"/>
                <w:szCs w:val="24"/>
                <w:rtl/>
              </w:rPr>
              <w:t xml:space="preserve">ובלבד </w:t>
            </w:r>
            <w:r w:rsidRPr="004442CE">
              <w:rPr>
                <w:rFonts w:hint="eastAsia"/>
                <w:sz w:val="24"/>
                <w:szCs w:val="24"/>
                <w:rtl/>
              </w:rPr>
              <w:t>שלא</w:t>
            </w:r>
            <w:r w:rsidRPr="004442CE">
              <w:rPr>
                <w:sz w:val="24"/>
                <w:szCs w:val="24"/>
                <w:rtl/>
              </w:rPr>
              <w:t xml:space="preserve"> תעלה על </w:t>
            </w:r>
            <w:r>
              <w:rPr>
                <w:rFonts w:hint="cs"/>
                <w:sz w:val="24"/>
                <w:szCs w:val="24"/>
                <w:rtl/>
              </w:rPr>
              <w:t>21 ימים וכל עוד קיים החשש</w:t>
            </w:r>
            <w:r w:rsidRPr="004442CE">
              <w:rPr>
                <w:rFonts w:hint="cs"/>
                <w:sz w:val="24"/>
                <w:szCs w:val="24"/>
                <w:rtl/>
              </w:rPr>
              <w:t>;</w:t>
            </w:r>
            <w:r w:rsidRPr="004442CE">
              <w:rPr>
                <w:rFonts w:hint="cs"/>
                <w:sz w:val="22"/>
                <w:szCs w:val="22"/>
                <w:rtl/>
              </w:rPr>
              <w:t xml:space="preserve">  </w:t>
            </w:r>
            <w:r w:rsidRPr="00B21D1E">
              <w:rPr>
                <w:rFonts w:hint="eastAsia"/>
                <w:sz w:val="26"/>
                <w:rtl/>
              </w:rPr>
              <w:t>מפקד</w:t>
            </w:r>
            <w:r w:rsidRPr="00B21D1E">
              <w:rPr>
                <w:sz w:val="26"/>
                <w:rtl/>
              </w:rPr>
              <w:t xml:space="preserve"> </w:t>
            </w:r>
            <w:r w:rsidRPr="00B21D1E">
              <w:rPr>
                <w:rFonts w:hint="eastAsia"/>
                <w:sz w:val="26"/>
                <w:rtl/>
              </w:rPr>
              <w:t>המחוז</w:t>
            </w:r>
            <w:r w:rsidRPr="004442CE">
              <w:rPr>
                <w:rFonts w:hint="cs"/>
                <w:sz w:val="26"/>
                <w:rtl/>
              </w:rPr>
              <w:t xml:space="preserve"> </w:t>
            </w:r>
            <w:r w:rsidRPr="00B21D1E">
              <w:rPr>
                <w:rFonts w:hint="eastAsia"/>
                <w:sz w:val="26"/>
                <w:rtl/>
              </w:rPr>
              <w:t>רשאי</w:t>
            </w:r>
            <w:r w:rsidRPr="00B21D1E">
              <w:rPr>
                <w:sz w:val="26"/>
                <w:rtl/>
              </w:rPr>
              <w:t xml:space="preserve"> </w:t>
            </w:r>
            <w:r w:rsidRPr="004442CE">
              <w:rPr>
                <w:rFonts w:hint="cs"/>
                <w:sz w:val="26"/>
                <w:rtl/>
              </w:rPr>
              <w:t xml:space="preserve">להאריך את ההכרזה לתקופות נוספות </w:t>
            </w:r>
            <w:r>
              <w:rPr>
                <w:rFonts w:hint="cs"/>
                <w:sz w:val="26"/>
                <w:rtl/>
              </w:rPr>
              <w:t>שלא יעלו על</w:t>
            </w:r>
            <w:r w:rsidRPr="004442CE">
              <w:rPr>
                <w:rFonts w:hint="cs"/>
                <w:sz w:val="26"/>
                <w:rtl/>
              </w:rPr>
              <w:t xml:space="preserve"> </w:t>
            </w:r>
            <w:r>
              <w:rPr>
                <w:rFonts w:hint="cs"/>
                <w:sz w:val="26"/>
                <w:rtl/>
              </w:rPr>
              <w:t xml:space="preserve">21 </w:t>
            </w:r>
            <w:r w:rsidRPr="004442CE">
              <w:rPr>
                <w:rFonts w:hint="cs"/>
                <w:sz w:val="26"/>
                <w:rtl/>
              </w:rPr>
              <w:t>ימים כל אחת</w:t>
            </w:r>
            <w:r>
              <w:rPr>
                <w:rFonts w:hint="cs"/>
                <w:sz w:val="26"/>
                <w:rtl/>
              </w:rPr>
              <w:t>;</w:t>
            </w:r>
            <w:r w:rsidRPr="00B21D1E">
              <w:rPr>
                <w:sz w:val="26"/>
                <w:rtl/>
              </w:rPr>
              <w:t xml:space="preserve"> </w:t>
            </w:r>
            <w:r>
              <w:rPr>
                <w:rFonts w:hint="cs"/>
                <w:sz w:val="26"/>
                <w:rtl/>
              </w:rPr>
              <w:t>עלתה תקופת ההכרזה על חודשיים, טעונה ההכרזה אישורו של ה</w:t>
            </w:r>
            <w:r w:rsidRPr="00B21D1E">
              <w:rPr>
                <w:rFonts w:hint="eastAsia"/>
                <w:sz w:val="26"/>
                <w:rtl/>
              </w:rPr>
              <w:t>מפקח</w:t>
            </w:r>
            <w:r w:rsidRPr="00B21D1E">
              <w:rPr>
                <w:sz w:val="26"/>
                <w:rtl/>
              </w:rPr>
              <w:t xml:space="preserve"> </w:t>
            </w:r>
            <w:r w:rsidRPr="00B21D1E">
              <w:rPr>
                <w:rFonts w:hint="eastAsia"/>
                <w:sz w:val="26"/>
                <w:rtl/>
              </w:rPr>
              <w:t>הכללי</w:t>
            </w:r>
            <w:r w:rsidRPr="00B21D1E">
              <w:rPr>
                <w:sz w:val="26"/>
                <w:rtl/>
              </w:rPr>
              <w:t xml:space="preserve"> </w:t>
            </w:r>
            <w:r w:rsidRPr="00B21D1E">
              <w:rPr>
                <w:rFonts w:hint="eastAsia"/>
                <w:sz w:val="26"/>
                <w:rtl/>
              </w:rPr>
              <w:t>של</w:t>
            </w:r>
            <w:r w:rsidRPr="00B21D1E">
              <w:rPr>
                <w:sz w:val="26"/>
                <w:rtl/>
              </w:rPr>
              <w:t xml:space="preserve"> </w:t>
            </w:r>
            <w:r w:rsidRPr="00B21D1E">
              <w:rPr>
                <w:rFonts w:hint="eastAsia"/>
                <w:sz w:val="26"/>
                <w:rtl/>
              </w:rPr>
              <w:t>המשטרה</w:t>
            </w:r>
            <w:r w:rsidRPr="004442CE">
              <w:rPr>
                <w:rFonts w:hint="cs"/>
                <w:sz w:val="26"/>
                <w:rtl/>
              </w:rPr>
              <w:t>.</w:t>
            </w:r>
          </w:p>
        </w:tc>
      </w:tr>
      <w:tr w:rsidR="00B35E1B" w:rsidRPr="003251E0" w:rsidTr="00092FC0">
        <w:trPr>
          <w:cantSplit/>
        </w:trPr>
        <w:tc>
          <w:tcPr>
            <w:tcW w:w="1612" w:type="dxa"/>
            <w:shd w:val="clear" w:color="auto" w:fill="auto"/>
            <w:tcMar>
              <w:top w:w="91" w:type="dxa"/>
              <w:left w:w="0" w:type="dxa"/>
              <w:bottom w:w="91" w:type="dxa"/>
              <w:right w:w="0" w:type="dxa"/>
            </w:tcMar>
          </w:tcPr>
          <w:p w:rsidR="00B35E1B" w:rsidRPr="003251E0" w:rsidRDefault="00B35E1B" w:rsidP="00092FC0">
            <w:pPr>
              <w:pStyle w:val="TableSideHeading"/>
              <w:spacing w:line="240" w:lineRule="auto"/>
              <w:rPr>
                <w:sz w:val="24"/>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4003" w:type="dxa"/>
            <w:shd w:val="clear" w:color="auto" w:fill="auto"/>
            <w:tcMar>
              <w:top w:w="91" w:type="dxa"/>
              <w:left w:w="0" w:type="dxa"/>
              <w:bottom w:w="91" w:type="dxa"/>
              <w:right w:w="0" w:type="dxa"/>
            </w:tcMar>
          </w:tcPr>
          <w:p w:rsidR="00B35E1B" w:rsidRPr="003251E0" w:rsidRDefault="00B35E1B" w:rsidP="00092FC0">
            <w:pPr>
              <w:pStyle w:val="TableBlock"/>
              <w:spacing w:line="240" w:lineRule="auto"/>
              <w:rPr>
                <w:sz w:val="24"/>
                <w:szCs w:val="24"/>
                <w:rtl/>
              </w:rPr>
            </w:pPr>
            <w:r w:rsidRPr="003251E0">
              <w:rPr>
                <w:sz w:val="24"/>
                <w:szCs w:val="24"/>
                <w:rtl/>
              </w:rPr>
              <w:t>(</w:t>
            </w:r>
            <w:r w:rsidRPr="003251E0">
              <w:rPr>
                <w:rFonts w:hint="eastAsia"/>
                <w:sz w:val="24"/>
                <w:szCs w:val="24"/>
                <w:rtl/>
              </w:rPr>
              <w:t>ג</w:t>
            </w:r>
            <w:r w:rsidRPr="003251E0">
              <w:rPr>
                <w:sz w:val="24"/>
                <w:szCs w:val="24"/>
                <w:rtl/>
              </w:rPr>
              <w:t>)</w:t>
            </w:r>
            <w:r w:rsidRPr="003251E0">
              <w:rPr>
                <w:sz w:val="24"/>
                <w:szCs w:val="24"/>
                <w:rtl/>
              </w:rPr>
              <w:tab/>
            </w:r>
            <w:r w:rsidRPr="003251E0">
              <w:rPr>
                <w:rFonts w:hint="eastAsia"/>
                <w:sz w:val="24"/>
                <w:szCs w:val="24"/>
                <w:rtl/>
              </w:rPr>
              <w:t>הוכרז</w:t>
            </w:r>
            <w:r w:rsidRPr="003251E0">
              <w:rPr>
                <w:sz w:val="24"/>
                <w:szCs w:val="24"/>
                <w:rtl/>
              </w:rPr>
              <w:t xml:space="preserve"> </w:t>
            </w:r>
            <w:r w:rsidRPr="003251E0">
              <w:rPr>
                <w:rFonts w:hint="eastAsia"/>
                <w:sz w:val="24"/>
                <w:szCs w:val="24"/>
                <w:rtl/>
              </w:rPr>
              <w:t>כאמור</w:t>
            </w:r>
            <w:r w:rsidRPr="003251E0">
              <w:rPr>
                <w:sz w:val="24"/>
                <w:szCs w:val="24"/>
                <w:rtl/>
              </w:rPr>
              <w:t xml:space="preserve"> </w:t>
            </w:r>
            <w:r w:rsidRPr="003251E0">
              <w:rPr>
                <w:rFonts w:hint="eastAsia"/>
                <w:sz w:val="24"/>
                <w:szCs w:val="24"/>
                <w:rtl/>
              </w:rPr>
              <w:t>בסעיף</w:t>
            </w:r>
            <w:r w:rsidRPr="003251E0">
              <w:rPr>
                <w:sz w:val="24"/>
                <w:szCs w:val="24"/>
                <w:rtl/>
              </w:rPr>
              <w:t xml:space="preserve"> </w:t>
            </w:r>
            <w:r w:rsidRPr="003251E0">
              <w:rPr>
                <w:rFonts w:hint="eastAsia"/>
                <w:sz w:val="24"/>
                <w:szCs w:val="24"/>
                <w:rtl/>
              </w:rPr>
              <w:t>קטן</w:t>
            </w:r>
            <w:r w:rsidRPr="003251E0">
              <w:rPr>
                <w:sz w:val="24"/>
                <w:szCs w:val="24"/>
                <w:rtl/>
              </w:rPr>
              <w:t xml:space="preserve"> (</w:t>
            </w:r>
            <w:r w:rsidRPr="003251E0">
              <w:rPr>
                <w:rFonts w:hint="cs"/>
                <w:sz w:val="24"/>
                <w:szCs w:val="24"/>
                <w:rtl/>
              </w:rPr>
              <w:t>א</w:t>
            </w:r>
            <w:r w:rsidRPr="003251E0">
              <w:rPr>
                <w:sz w:val="24"/>
                <w:szCs w:val="24"/>
                <w:rtl/>
              </w:rPr>
              <w:t xml:space="preserve">), </w:t>
            </w:r>
            <w:r>
              <w:rPr>
                <w:rFonts w:hint="cs"/>
                <w:sz w:val="24"/>
                <w:szCs w:val="24"/>
                <w:rtl/>
              </w:rPr>
              <w:t xml:space="preserve">יודיע </w:t>
            </w:r>
            <w:r w:rsidRPr="003251E0">
              <w:rPr>
                <w:rFonts w:hint="eastAsia"/>
                <w:sz w:val="24"/>
                <w:szCs w:val="24"/>
                <w:rtl/>
              </w:rPr>
              <w:t>מפקד</w:t>
            </w:r>
            <w:r w:rsidRPr="003251E0">
              <w:rPr>
                <w:sz w:val="24"/>
                <w:szCs w:val="24"/>
                <w:rtl/>
              </w:rPr>
              <w:t xml:space="preserve"> </w:t>
            </w:r>
            <w:r w:rsidRPr="003251E0">
              <w:rPr>
                <w:rFonts w:hint="eastAsia"/>
                <w:sz w:val="24"/>
                <w:szCs w:val="24"/>
                <w:rtl/>
              </w:rPr>
              <w:t>המחוז</w:t>
            </w:r>
            <w:r w:rsidRPr="003251E0">
              <w:rPr>
                <w:sz w:val="24"/>
                <w:szCs w:val="24"/>
                <w:rtl/>
              </w:rPr>
              <w:t xml:space="preserve"> </w:t>
            </w:r>
            <w:r>
              <w:rPr>
                <w:rFonts w:hint="cs"/>
                <w:sz w:val="24"/>
                <w:szCs w:val="24"/>
                <w:rtl/>
              </w:rPr>
              <w:t>לציבור העוברים באזור המוכרז,</w:t>
            </w:r>
            <w:r w:rsidRPr="003251E0">
              <w:rPr>
                <w:sz w:val="24"/>
                <w:szCs w:val="24"/>
                <w:rtl/>
              </w:rPr>
              <w:t xml:space="preserve"> </w:t>
            </w:r>
            <w:r>
              <w:rPr>
                <w:rFonts w:hint="cs"/>
                <w:sz w:val="24"/>
                <w:szCs w:val="24"/>
                <w:rtl/>
              </w:rPr>
              <w:t xml:space="preserve">על </w:t>
            </w:r>
            <w:r w:rsidRPr="003251E0">
              <w:rPr>
                <w:sz w:val="24"/>
                <w:szCs w:val="24"/>
                <w:rtl/>
              </w:rPr>
              <w:t xml:space="preserve"> </w:t>
            </w:r>
            <w:r w:rsidRPr="003251E0">
              <w:rPr>
                <w:rFonts w:hint="eastAsia"/>
                <w:sz w:val="24"/>
                <w:szCs w:val="24"/>
                <w:rtl/>
              </w:rPr>
              <w:t>קיומה</w:t>
            </w:r>
            <w:r w:rsidRPr="003251E0">
              <w:rPr>
                <w:sz w:val="24"/>
                <w:szCs w:val="24"/>
                <w:rtl/>
              </w:rPr>
              <w:t xml:space="preserve"> </w:t>
            </w:r>
            <w:r w:rsidRPr="003251E0">
              <w:rPr>
                <w:rFonts w:hint="eastAsia"/>
                <w:sz w:val="24"/>
                <w:szCs w:val="24"/>
                <w:rtl/>
              </w:rPr>
              <w:t>של</w:t>
            </w:r>
            <w:r w:rsidRPr="003251E0">
              <w:rPr>
                <w:sz w:val="24"/>
                <w:szCs w:val="24"/>
                <w:rtl/>
              </w:rPr>
              <w:t xml:space="preserve"> </w:t>
            </w:r>
            <w:r w:rsidRPr="003251E0">
              <w:rPr>
                <w:rFonts w:hint="eastAsia"/>
                <w:sz w:val="24"/>
                <w:szCs w:val="24"/>
                <w:rtl/>
              </w:rPr>
              <w:t>סמכות</w:t>
            </w:r>
            <w:r w:rsidRPr="003251E0">
              <w:rPr>
                <w:sz w:val="24"/>
                <w:szCs w:val="24"/>
                <w:rtl/>
              </w:rPr>
              <w:t xml:space="preserve"> </w:t>
            </w:r>
            <w:r w:rsidRPr="003251E0">
              <w:rPr>
                <w:rFonts w:hint="eastAsia"/>
                <w:sz w:val="24"/>
                <w:szCs w:val="24"/>
                <w:rtl/>
              </w:rPr>
              <w:t>החיפוש</w:t>
            </w:r>
            <w:r>
              <w:rPr>
                <w:rFonts w:hint="cs"/>
                <w:sz w:val="24"/>
                <w:szCs w:val="24"/>
                <w:rtl/>
              </w:rPr>
              <w:t xml:space="preserve"> לפי סעיף זה. </w:t>
            </w:r>
          </w:p>
        </w:tc>
      </w:tr>
      <w:tr w:rsidR="00B35E1B" w:rsidRPr="003251E0" w:rsidTr="00092FC0">
        <w:trPr>
          <w:cantSplit/>
        </w:trPr>
        <w:tc>
          <w:tcPr>
            <w:tcW w:w="1612" w:type="dxa"/>
            <w:shd w:val="clear" w:color="auto" w:fill="auto"/>
            <w:tcMar>
              <w:top w:w="91" w:type="dxa"/>
              <w:left w:w="0" w:type="dxa"/>
              <w:bottom w:w="91" w:type="dxa"/>
              <w:right w:w="0" w:type="dxa"/>
            </w:tcMar>
          </w:tcPr>
          <w:p w:rsidR="00B35E1B" w:rsidRPr="003251E0" w:rsidRDefault="00B35E1B" w:rsidP="00092FC0">
            <w:pPr>
              <w:pStyle w:val="TableSideHeading"/>
              <w:spacing w:line="240" w:lineRule="auto"/>
              <w:rPr>
                <w:sz w:val="24"/>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18"/>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4003" w:type="dxa"/>
            <w:shd w:val="clear" w:color="auto" w:fill="auto"/>
            <w:tcMar>
              <w:top w:w="91" w:type="dxa"/>
              <w:left w:w="0" w:type="dxa"/>
              <w:bottom w:w="91" w:type="dxa"/>
              <w:right w:w="0" w:type="dxa"/>
            </w:tcMar>
          </w:tcPr>
          <w:p w:rsidR="00B35E1B" w:rsidRPr="003251E0" w:rsidRDefault="00B35E1B" w:rsidP="00092FC0">
            <w:pPr>
              <w:pStyle w:val="TableBlock"/>
              <w:spacing w:line="240" w:lineRule="auto"/>
              <w:rPr>
                <w:sz w:val="24"/>
                <w:szCs w:val="24"/>
                <w:rtl/>
              </w:rPr>
            </w:pPr>
            <w:r w:rsidRPr="003251E0">
              <w:rPr>
                <w:rFonts w:hint="cs"/>
                <w:sz w:val="24"/>
                <w:szCs w:val="24"/>
                <w:rtl/>
              </w:rPr>
              <w:t>(ד)</w:t>
            </w:r>
            <w:r w:rsidRPr="003251E0">
              <w:rPr>
                <w:sz w:val="24"/>
                <w:szCs w:val="24"/>
                <w:rtl/>
              </w:rPr>
              <w:tab/>
            </w:r>
            <w:r w:rsidRPr="003251E0">
              <w:rPr>
                <w:rFonts w:hint="cs"/>
                <w:sz w:val="24"/>
                <w:szCs w:val="24"/>
                <w:rtl/>
              </w:rPr>
              <w:t xml:space="preserve">המפקח הכללי של המשטרה יקבע </w:t>
            </w:r>
            <w:r w:rsidRPr="002F1A93">
              <w:rPr>
                <w:rFonts w:hint="cs"/>
                <w:sz w:val="24"/>
                <w:szCs w:val="24"/>
                <w:rtl/>
              </w:rPr>
              <w:t xml:space="preserve">בנוהל הוראות בדבר אופן ביצוע החיפוש </w:t>
            </w:r>
            <w:r>
              <w:rPr>
                <w:rFonts w:hint="cs"/>
                <w:sz w:val="24"/>
                <w:szCs w:val="24"/>
                <w:rtl/>
              </w:rPr>
              <w:t xml:space="preserve">כדי </w:t>
            </w:r>
            <w:r w:rsidRPr="002F1A93">
              <w:rPr>
                <w:rFonts w:hint="cs"/>
                <w:sz w:val="24"/>
                <w:szCs w:val="24"/>
                <w:rtl/>
              </w:rPr>
              <w:t xml:space="preserve">להבטיח את הגשמת מטרת החיפוש בלבד </w:t>
            </w:r>
            <w:r w:rsidRPr="002F1A93">
              <w:rPr>
                <w:rFonts w:hint="eastAsia"/>
                <w:sz w:val="24"/>
                <w:szCs w:val="24"/>
                <w:rtl/>
              </w:rPr>
              <w:t>ובשים</w:t>
            </w:r>
            <w:r w:rsidRPr="002F1A93">
              <w:rPr>
                <w:sz w:val="24"/>
                <w:szCs w:val="24"/>
                <w:rtl/>
              </w:rPr>
              <w:t xml:space="preserve"> לב להוראת סעיף 1</w:t>
            </w:r>
            <w:r w:rsidRPr="002F1A93">
              <w:rPr>
                <w:rFonts w:hint="cs"/>
                <w:sz w:val="24"/>
                <w:szCs w:val="24"/>
                <w:rtl/>
              </w:rPr>
              <w:t xml:space="preserve"> ו</w:t>
            </w:r>
            <w:r>
              <w:rPr>
                <w:rFonts w:hint="cs"/>
                <w:sz w:val="24"/>
                <w:szCs w:val="24"/>
                <w:rtl/>
              </w:rPr>
              <w:t>בדבר הדרכים להודעה לציבור על הכרזה לפי סעיף קטן (ג).</w:t>
            </w:r>
            <w:r w:rsidRPr="003251E0">
              <w:rPr>
                <w:rFonts w:hint="cs"/>
                <w:sz w:val="24"/>
                <w:szCs w:val="24"/>
                <w:rtl/>
              </w:rPr>
              <w:t xml:space="preserve"> </w:t>
            </w:r>
          </w:p>
        </w:tc>
      </w:tr>
      <w:tr w:rsidR="00B35E1B" w:rsidRPr="003251E0" w:rsidTr="00092FC0">
        <w:trPr>
          <w:cantSplit/>
        </w:trPr>
        <w:tc>
          <w:tcPr>
            <w:tcW w:w="1612" w:type="dxa"/>
            <w:shd w:val="clear" w:color="auto" w:fill="auto"/>
            <w:tcMar>
              <w:top w:w="91" w:type="dxa"/>
              <w:left w:w="0" w:type="dxa"/>
              <w:bottom w:w="91" w:type="dxa"/>
              <w:right w:w="0" w:type="dxa"/>
            </w:tcMar>
          </w:tcPr>
          <w:p w:rsidR="00B35E1B" w:rsidRPr="003251E0" w:rsidRDefault="00B35E1B" w:rsidP="00092FC0">
            <w:pPr>
              <w:pStyle w:val="TableSideHeading"/>
              <w:spacing w:line="240" w:lineRule="auto"/>
              <w:rPr>
                <w:sz w:val="24"/>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40"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539" w:type="dxa"/>
            <w:shd w:val="clear" w:color="auto" w:fill="auto"/>
            <w:tcMar>
              <w:top w:w="91" w:type="dxa"/>
              <w:left w:w="0" w:type="dxa"/>
              <w:bottom w:w="91" w:type="dxa"/>
              <w:right w:w="0" w:type="dxa"/>
            </w:tcMar>
          </w:tcPr>
          <w:p w:rsidR="00B35E1B" w:rsidRPr="003251E0" w:rsidRDefault="00B35E1B" w:rsidP="00092FC0">
            <w:pPr>
              <w:pStyle w:val="TableText"/>
              <w:spacing w:line="240" w:lineRule="auto"/>
              <w:rPr>
                <w:sz w:val="24"/>
                <w:szCs w:val="24"/>
                <w:rtl/>
              </w:rPr>
            </w:pPr>
          </w:p>
        </w:tc>
        <w:tc>
          <w:tcPr>
            <w:tcW w:w="4003" w:type="dxa"/>
            <w:shd w:val="clear" w:color="auto" w:fill="auto"/>
            <w:tcMar>
              <w:top w:w="91" w:type="dxa"/>
              <w:left w:w="0" w:type="dxa"/>
              <w:bottom w:w="91" w:type="dxa"/>
              <w:right w:w="0" w:type="dxa"/>
            </w:tcMar>
          </w:tcPr>
          <w:p w:rsidR="00B35E1B" w:rsidRDefault="00B35E1B" w:rsidP="00092FC0">
            <w:pPr>
              <w:pStyle w:val="TableBlock"/>
              <w:spacing w:line="240" w:lineRule="auto"/>
              <w:rPr>
                <w:sz w:val="24"/>
                <w:szCs w:val="24"/>
                <w:rtl/>
              </w:rPr>
            </w:pPr>
            <w:r w:rsidRPr="003251E0">
              <w:rPr>
                <w:sz w:val="24"/>
                <w:szCs w:val="24"/>
                <w:rtl/>
              </w:rPr>
              <w:t>(</w:t>
            </w:r>
            <w:r w:rsidRPr="003251E0">
              <w:rPr>
                <w:rFonts w:hint="cs"/>
                <w:sz w:val="24"/>
                <w:szCs w:val="24"/>
                <w:rtl/>
              </w:rPr>
              <w:t>ה</w:t>
            </w:r>
            <w:r w:rsidRPr="003251E0">
              <w:rPr>
                <w:sz w:val="24"/>
                <w:szCs w:val="24"/>
                <w:rtl/>
              </w:rPr>
              <w:t>)</w:t>
            </w:r>
            <w:r w:rsidRPr="003251E0">
              <w:rPr>
                <w:sz w:val="24"/>
                <w:szCs w:val="24"/>
                <w:rtl/>
              </w:rPr>
              <w:tab/>
            </w:r>
            <w:r w:rsidRPr="00F4409E">
              <w:rPr>
                <w:rFonts w:hint="cs"/>
                <w:rtl/>
              </w:rPr>
              <w:t>ב-1 בנובמבר של כל שנה, ידווח השר לוועדת החוקה חוק ומשפט של הכנסת על מספר ומיקום ההכרזות</w:t>
            </w:r>
            <w:r>
              <w:rPr>
                <w:rFonts w:hint="cs"/>
                <w:rtl/>
              </w:rPr>
              <w:t xml:space="preserve"> שניתנו לפי סעיף זה</w:t>
            </w:r>
            <w:r w:rsidRPr="00F4409E">
              <w:rPr>
                <w:rFonts w:hint="cs"/>
                <w:rtl/>
              </w:rPr>
              <w:t xml:space="preserve">, </w:t>
            </w:r>
            <w:r>
              <w:rPr>
                <w:rFonts w:hint="cs"/>
                <w:rtl/>
              </w:rPr>
              <w:t xml:space="preserve">הטעמים להכרזות, </w:t>
            </w:r>
            <w:r w:rsidRPr="00F4409E">
              <w:rPr>
                <w:rFonts w:hint="cs"/>
                <w:rtl/>
              </w:rPr>
              <w:t>החיפושים</w:t>
            </w:r>
            <w:r>
              <w:rPr>
                <w:rFonts w:hint="cs"/>
                <w:rtl/>
              </w:rPr>
              <w:t xml:space="preserve"> שנערכו, והשפעת ההכרזות, לפי הערכתו, על ביטחון הציבור.</w:t>
            </w:r>
            <w:r w:rsidR="00782C4B">
              <w:rPr>
                <w:rFonts w:hint="cs"/>
                <w:sz w:val="24"/>
                <w:szCs w:val="24"/>
                <w:rtl/>
              </w:rPr>
              <w:t>"</w:t>
            </w:r>
          </w:p>
          <w:p w:rsidR="00B35E1B" w:rsidRPr="003251E0" w:rsidRDefault="00B35E1B" w:rsidP="00092FC0">
            <w:pPr>
              <w:pStyle w:val="TableBlock"/>
              <w:spacing w:line="240" w:lineRule="auto"/>
              <w:rPr>
                <w:sz w:val="24"/>
                <w:szCs w:val="24"/>
                <w:rtl/>
              </w:rPr>
            </w:pPr>
          </w:p>
        </w:tc>
      </w:tr>
      <w:tr w:rsidR="00B35E1B" w:rsidRPr="00F4409E" w:rsidTr="00092FC0">
        <w:tblPrEx>
          <w:tblLook w:val="01E0" w:firstRow="1" w:lastRow="1" w:firstColumn="1" w:lastColumn="1" w:noHBand="0" w:noVBand="0"/>
        </w:tblPrEx>
        <w:trPr>
          <w:cantSplit/>
          <w:trHeight w:val="60"/>
        </w:trPr>
        <w:tc>
          <w:tcPr>
            <w:tcW w:w="1612" w:type="dxa"/>
          </w:tcPr>
          <w:p w:rsidR="00B35E1B" w:rsidRPr="00F4409E" w:rsidRDefault="00B35E1B" w:rsidP="00092FC0">
            <w:pPr>
              <w:pStyle w:val="TableSideHeading"/>
              <w:spacing w:line="240" w:lineRule="auto"/>
            </w:pPr>
          </w:p>
        </w:tc>
        <w:tc>
          <w:tcPr>
            <w:tcW w:w="540" w:type="dxa"/>
          </w:tcPr>
          <w:p w:rsidR="00B35E1B" w:rsidRPr="00F4409E" w:rsidRDefault="00B35E1B" w:rsidP="00092FC0">
            <w:pPr>
              <w:pStyle w:val="TableText"/>
              <w:spacing w:line="240" w:lineRule="auto"/>
            </w:pPr>
          </w:p>
        </w:tc>
        <w:tc>
          <w:tcPr>
            <w:tcW w:w="6160" w:type="dxa"/>
            <w:gridSpan w:val="5"/>
          </w:tcPr>
          <w:p w:rsidR="00B35E1B" w:rsidRPr="00F4409E" w:rsidRDefault="00B35E1B" w:rsidP="00092FC0">
            <w:pPr>
              <w:pStyle w:val="TableBlock"/>
              <w:spacing w:line="240" w:lineRule="auto"/>
              <w:ind w:left="720"/>
              <w:rPr>
                <w:sz w:val="6"/>
                <w:szCs w:val="12"/>
              </w:rPr>
            </w:pPr>
          </w:p>
        </w:tc>
      </w:tr>
      <w:tr w:rsidR="00B35E1B" w:rsidRPr="00F4409E" w:rsidTr="00092FC0">
        <w:trPr>
          <w:cantSplit/>
        </w:trPr>
        <w:tc>
          <w:tcPr>
            <w:tcW w:w="1612" w:type="dxa"/>
            <w:shd w:val="clear" w:color="auto" w:fill="auto"/>
            <w:tcMar>
              <w:top w:w="91" w:type="dxa"/>
              <w:left w:w="0" w:type="dxa"/>
              <w:bottom w:w="91" w:type="dxa"/>
              <w:right w:w="0" w:type="dxa"/>
            </w:tcMar>
          </w:tcPr>
          <w:p w:rsidR="00B35E1B" w:rsidRPr="00F4409E" w:rsidRDefault="00B35E1B" w:rsidP="00092FC0">
            <w:pPr>
              <w:pStyle w:val="TableSideHeading"/>
              <w:spacing w:line="26" w:lineRule="atLeast"/>
              <w:rPr>
                <w:sz w:val="24"/>
                <w:szCs w:val="24"/>
                <w:rtl/>
              </w:rPr>
            </w:pPr>
            <w:r w:rsidRPr="00F4409E">
              <w:rPr>
                <w:rFonts w:hint="eastAsia"/>
                <w:sz w:val="24"/>
                <w:szCs w:val="24"/>
                <w:rtl/>
              </w:rPr>
              <w:t>תיקון</w:t>
            </w:r>
            <w:r w:rsidRPr="00F4409E">
              <w:rPr>
                <w:sz w:val="24"/>
                <w:szCs w:val="24"/>
                <w:rtl/>
              </w:rPr>
              <w:t xml:space="preserve"> </w:t>
            </w:r>
            <w:r w:rsidRPr="00F4409E">
              <w:rPr>
                <w:rFonts w:hint="eastAsia"/>
                <w:sz w:val="24"/>
                <w:szCs w:val="24"/>
                <w:rtl/>
              </w:rPr>
              <w:t>חוק</w:t>
            </w:r>
            <w:r w:rsidRPr="00F4409E">
              <w:rPr>
                <w:sz w:val="24"/>
                <w:szCs w:val="24"/>
                <w:rtl/>
              </w:rPr>
              <w:t xml:space="preserve"> </w:t>
            </w:r>
            <w:r w:rsidRPr="00F4409E">
              <w:rPr>
                <w:rFonts w:hint="eastAsia"/>
                <w:sz w:val="24"/>
                <w:szCs w:val="24"/>
                <w:rtl/>
              </w:rPr>
              <w:t>בתי</w:t>
            </w:r>
            <w:r w:rsidRPr="00F4409E">
              <w:rPr>
                <w:sz w:val="24"/>
                <w:szCs w:val="24"/>
                <w:rtl/>
              </w:rPr>
              <w:t xml:space="preserve"> </w:t>
            </w:r>
            <w:r w:rsidRPr="00F4409E">
              <w:rPr>
                <w:rFonts w:hint="eastAsia"/>
                <w:sz w:val="24"/>
                <w:szCs w:val="24"/>
                <w:rtl/>
              </w:rPr>
              <w:t>משפט</w:t>
            </w:r>
            <w:r w:rsidRPr="00F4409E">
              <w:rPr>
                <w:sz w:val="24"/>
                <w:szCs w:val="24"/>
                <w:rtl/>
              </w:rPr>
              <w:t xml:space="preserve"> </w:t>
            </w:r>
            <w:r w:rsidRPr="00F4409E">
              <w:rPr>
                <w:rFonts w:hint="eastAsia"/>
                <w:sz w:val="24"/>
                <w:szCs w:val="24"/>
                <w:rtl/>
              </w:rPr>
              <w:t>לעניינים</w:t>
            </w:r>
            <w:r w:rsidRPr="00F4409E">
              <w:rPr>
                <w:sz w:val="24"/>
                <w:szCs w:val="24"/>
                <w:rtl/>
              </w:rPr>
              <w:t xml:space="preserve"> </w:t>
            </w:r>
            <w:r w:rsidRPr="00F4409E">
              <w:rPr>
                <w:rFonts w:hint="eastAsia"/>
                <w:sz w:val="24"/>
                <w:szCs w:val="24"/>
                <w:rtl/>
              </w:rPr>
              <w:t>מינהליים</w:t>
            </w:r>
            <w:r w:rsidRPr="00F4409E">
              <w:rPr>
                <w:rFonts w:hint="cs"/>
                <w:sz w:val="24"/>
                <w:szCs w:val="24"/>
                <w:rtl/>
              </w:rPr>
              <w:t xml:space="preserve"> </w:t>
            </w:r>
            <w:r w:rsidRPr="00F4409E">
              <w:rPr>
                <w:sz w:val="24"/>
                <w:szCs w:val="24"/>
                <w:rtl/>
              </w:rPr>
              <w:t>–</w:t>
            </w:r>
            <w:r w:rsidRPr="00F4409E">
              <w:rPr>
                <w:rFonts w:hint="cs"/>
                <w:sz w:val="24"/>
                <w:szCs w:val="24"/>
                <w:rtl/>
              </w:rPr>
              <w:t xml:space="preserve"> הוראת שעה</w:t>
            </w:r>
          </w:p>
        </w:tc>
        <w:tc>
          <w:tcPr>
            <w:tcW w:w="540" w:type="dxa"/>
            <w:shd w:val="clear" w:color="auto" w:fill="auto"/>
            <w:tcMar>
              <w:top w:w="91" w:type="dxa"/>
              <w:left w:w="0" w:type="dxa"/>
              <w:bottom w:w="91" w:type="dxa"/>
              <w:right w:w="0" w:type="dxa"/>
            </w:tcMar>
          </w:tcPr>
          <w:p w:rsidR="00B35E1B" w:rsidRPr="00F4409E" w:rsidRDefault="00B35E1B" w:rsidP="00092FC0">
            <w:pPr>
              <w:pStyle w:val="TableText"/>
              <w:spacing w:line="26" w:lineRule="atLeast"/>
              <w:rPr>
                <w:sz w:val="24"/>
                <w:szCs w:val="24"/>
                <w:rtl/>
              </w:rPr>
            </w:pPr>
            <w:r>
              <w:rPr>
                <w:rFonts w:hint="cs"/>
                <w:sz w:val="24"/>
                <w:szCs w:val="24"/>
                <w:rtl/>
              </w:rPr>
              <w:t>3</w:t>
            </w:r>
            <w:r w:rsidRPr="00F4409E">
              <w:rPr>
                <w:sz w:val="24"/>
                <w:szCs w:val="24"/>
                <w:rtl/>
              </w:rPr>
              <w:t>.</w:t>
            </w:r>
          </w:p>
        </w:tc>
        <w:tc>
          <w:tcPr>
            <w:tcW w:w="6160" w:type="dxa"/>
            <w:gridSpan w:val="5"/>
            <w:shd w:val="clear" w:color="auto" w:fill="auto"/>
            <w:tcMar>
              <w:top w:w="91" w:type="dxa"/>
              <w:left w:w="0" w:type="dxa"/>
              <w:bottom w:w="91" w:type="dxa"/>
              <w:right w:w="0" w:type="dxa"/>
            </w:tcMar>
          </w:tcPr>
          <w:p w:rsidR="00B35E1B" w:rsidRPr="00F4409E" w:rsidRDefault="00B35E1B" w:rsidP="00092FC0">
            <w:pPr>
              <w:pStyle w:val="TableBlock"/>
              <w:spacing w:line="26" w:lineRule="atLeast"/>
              <w:rPr>
                <w:sz w:val="24"/>
                <w:szCs w:val="24"/>
                <w:rtl/>
              </w:rPr>
            </w:pPr>
            <w:r w:rsidRPr="00F4409E">
              <w:rPr>
                <w:rFonts w:hint="eastAsia"/>
                <w:sz w:val="24"/>
                <w:szCs w:val="24"/>
                <w:rtl/>
              </w:rPr>
              <w:t>בחוק</w:t>
            </w:r>
            <w:r w:rsidRPr="00F4409E">
              <w:rPr>
                <w:sz w:val="24"/>
                <w:szCs w:val="24"/>
                <w:rtl/>
              </w:rPr>
              <w:t xml:space="preserve"> </w:t>
            </w:r>
            <w:r w:rsidRPr="00F4409E">
              <w:rPr>
                <w:rFonts w:hint="eastAsia"/>
                <w:sz w:val="24"/>
                <w:szCs w:val="24"/>
                <w:rtl/>
              </w:rPr>
              <w:t>בתי</w:t>
            </w:r>
            <w:r w:rsidRPr="00F4409E">
              <w:rPr>
                <w:sz w:val="24"/>
                <w:szCs w:val="24"/>
                <w:rtl/>
              </w:rPr>
              <w:t xml:space="preserve"> </w:t>
            </w:r>
            <w:r w:rsidRPr="00F4409E">
              <w:rPr>
                <w:rFonts w:hint="eastAsia"/>
                <w:sz w:val="24"/>
                <w:szCs w:val="24"/>
                <w:rtl/>
              </w:rPr>
              <w:t>משפט</w:t>
            </w:r>
            <w:r w:rsidRPr="00F4409E">
              <w:rPr>
                <w:sz w:val="24"/>
                <w:szCs w:val="24"/>
                <w:rtl/>
              </w:rPr>
              <w:t xml:space="preserve"> </w:t>
            </w:r>
            <w:r w:rsidRPr="00F4409E">
              <w:rPr>
                <w:rFonts w:hint="eastAsia"/>
                <w:sz w:val="24"/>
                <w:szCs w:val="24"/>
                <w:rtl/>
              </w:rPr>
              <w:t>לעניינים</w:t>
            </w:r>
            <w:r w:rsidRPr="00F4409E">
              <w:rPr>
                <w:sz w:val="24"/>
                <w:szCs w:val="24"/>
                <w:rtl/>
              </w:rPr>
              <w:t xml:space="preserve"> </w:t>
            </w:r>
            <w:r w:rsidRPr="00F4409E">
              <w:rPr>
                <w:rFonts w:hint="eastAsia"/>
                <w:sz w:val="24"/>
                <w:szCs w:val="24"/>
                <w:rtl/>
              </w:rPr>
              <w:t>מינהליים</w:t>
            </w:r>
            <w:r w:rsidRPr="00F4409E">
              <w:rPr>
                <w:sz w:val="24"/>
                <w:szCs w:val="24"/>
                <w:rtl/>
              </w:rPr>
              <w:t xml:space="preserve">, </w:t>
            </w:r>
            <w:r w:rsidRPr="00F4409E">
              <w:rPr>
                <w:rFonts w:hint="eastAsia"/>
                <w:sz w:val="24"/>
                <w:szCs w:val="24"/>
                <w:rtl/>
              </w:rPr>
              <w:t>התש</w:t>
            </w:r>
            <w:r w:rsidRPr="00F4409E">
              <w:rPr>
                <w:sz w:val="24"/>
                <w:szCs w:val="24"/>
                <w:rtl/>
              </w:rPr>
              <w:t>"</w:t>
            </w:r>
            <w:r w:rsidRPr="00F4409E">
              <w:rPr>
                <w:rFonts w:hint="eastAsia"/>
                <w:sz w:val="24"/>
                <w:szCs w:val="24"/>
                <w:rtl/>
              </w:rPr>
              <w:t>ס</w:t>
            </w:r>
            <w:r w:rsidRPr="00F4409E">
              <w:rPr>
                <w:sz w:val="24"/>
                <w:szCs w:val="24"/>
                <w:rtl/>
              </w:rPr>
              <w:t>–2000</w:t>
            </w:r>
            <w:r w:rsidRPr="00F4409E">
              <w:rPr>
                <w:rFonts w:hint="eastAsia"/>
                <w:sz w:val="24"/>
                <w:szCs w:val="24"/>
                <w:rtl/>
              </w:rPr>
              <w:t>‏</w:t>
            </w:r>
            <w:r w:rsidRPr="00F4409E">
              <w:rPr>
                <w:rStyle w:val="a5"/>
                <w:rFonts w:hAnsi="HadasaMFO"/>
                <w:sz w:val="24"/>
                <w:szCs w:val="24"/>
                <w:rtl/>
              </w:rPr>
              <w:footnoteReference w:id="2"/>
            </w:r>
            <w:r w:rsidRPr="00F4409E">
              <w:rPr>
                <w:sz w:val="24"/>
                <w:szCs w:val="24"/>
                <w:rtl/>
              </w:rPr>
              <w:t xml:space="preserve">, </w:t>
            </w:r>
            <w:r w:rsidRPr="00F4409E">
              <w:rPr>
                <w:rFonts w:hint="eastAsia"/>
                <w:sz w:val="24"/>
                <w:szCs w:val="24"/>
                <w:rtl/>
              </w:rPr>
              <w:t>בתוספת</w:t>
            </w:r>
            <w:r w:rsidRPr="00F4409E">
              <w:rPr>
                <w:sz w:val="24"/>
                <w:szCs w:val="24"/>
                <w:rtl/>
              </w:rPr>
              <w:t xml:space="preserve"> </w:t>
            </w:r>
            <w:r w:rsidRPr="00F4409E">
              <w:rPr>
                <w:rFonts w:hint="eastAsia"/>
                <w:sz w:val="24"/>
                <w:szCs w:val="24"/>
                <w:rtl/>
              </w:rPr>
              <w:t>הראשונה</w:t>
            </w:r>
            <w:r w:rsidRPr="00F4409E">
              <w:rPr>
                <w:sz w:val="24"/>
                <w:szCs w:val="24"/>
                <w:rtl/>
              </w:rPr>
              <w:t>,</w:t>
            </w:r>
            <w:r>
              <w:rPr>
                <w:rFonts w:hint="cs"/>
                <w:sz w:val="24"/>
                <w:szCs w:val="24"/>
                <w:rtl/>
              </w:rPr>
              <w:t xml:space="preserve"> בפרט 11, במקום "כלי היריה </w:t>
            </w:r>
            <w:r>
              <w:rPr>
                <w:sz w:val="24"/>
                <w:szCs w:val="24"/>
                <w:rtl/>
              </w:rPr>
              <w:t>–</w:t>
            </w:r>
            <w:r>
              <w:rPr>
                <w:rFonts w:hint="cs"/>
                <w:sz w:val="24"/>
                <w:szCs w:val="24"/>
                <w:rtl/>
              </w:rPr>
              <w:t xml:space="preserve"> " יבוא "ביטחון הציבור </w:t>
            </w:r>
            <w:r>
              <w:rPr>
                <w:sz w:val="24"/>
                <w:szCs w:val="24"/>
                <w:rtl/>
              </w:rPr>
              <w:t>–</w:t>
            </w:r>
            <w:r>
              <w:rPr>
                <w:rFonts w:hint="cs"/>
                <w:sz w:val="24"/>
                <w:szCs w:val="24"/>
                <w:rtl/>
              </w:rPr>
              <w:t>"האמור בו יסומן "(א)", ואחריו יבוא</w:t>
            </w:r>
            <w:r w:rsidRPr="00F4409E">
              <w:rPr>
                <w:sz w:val="24"/>
                <w:szCs w:val="24"/>
                <w:rtl/>
              </w:rPr>
              <w:t>:</w:t>
            </w:r>
          </w:p>
        </w:tc>
      </w:tr>
      <w:tr w:rsidR="00B35E1B" w:rsidRPr="00F4409E" w:rsidTr="00092FC0">
        <w:trPr>
          <w:cantSplit/>
        </w:trPr>
        <w:tc>
          <w:tcPr>
            <w:tcW w:w="1612" w:type="dxa"/>
            <w:shd w:val="clear" w:color="auto" w:fill="auto"/>
            <w:tcMar>
              <w:top w:w="91" w:type="dxa"/>
              <w:left w:w="0" w:type="dxa"/>
              <w:bottom w:w="91" w:type="dxa"/>
              <w:right w:w="0" w:type="dxa"/>
            </w:tcMar>
          </w:tcPr>
          <w:p w:rsidR="00B35E1B" w:rsidRPr="00F4409E" w:rsidRDefault="00B35E1B" w:rsidP="00092FC0">
            <w:pPr>
              <w:pStyle w:val="TableSideHeading"/>
              <w:spacing w:line="26" w:lineRule="atLeast"/>
              <w:rPr>
                <w:sz w:val="24"/>
                <w:szCs w:val="24"/>
                <w:rtl/>
              </w:rPr>
            </w:pPr>
          </w:p>
        </w:tc>
        <w:tc>
          <w:tcPr>
            <w:tcW w:w="540" w:type="dxa"/>
            <w:shd w:val="clear" w:color="auto" w:fill="auto"/>
            <w:tcMar>
              <w:top w:w="91" w:type="dxa"/>
              <w:left w:w="0" w:type="dxa"/>
              <w:bottom w:w="91" w:type="dxa"/>
              <w:right w:w="0" w:type="dxa"/>
            </w:tcMar>
          </w:tcPr>
          <w:p w:rsidR="00B35E1B" w:rsidRPr="00F4409E" w:rsidRDefault="00B35E1B" w:rsidP="00092FC0">
            <w:pPr>
              <w:pStyle w:val="TableText"/>
              <w:spacing w:line="26" w:lineRule="atLeast"/>
              <w:rPr>
                <w:sz w:val="24"/>
                <w:szCs w:val="24"/>
                <w:rtl/>
              </w:rPr>
            </w:pPr>
          </w:p>
        </w:tc>
        <w:tc>
          <w:tcPr>
            <w:tcW w:w="6160" w:type="dxa"/>
            <w:gridSpan w:val="5"/>
            <w:shd w:val="clear" w:color="auto" w:fill="auto"/>
            <w:tcMar>
              <w:top w:w="91" w:type="dxa"/>
              <w:left w:w="0" w:type="dxa"/>
              <w:bottom w:w="91" w:type="dxa"/>
              <w:right w:w="0" w:type="dxa"/>
            </w:tcMar>
          </w:tcPr>
          <w:p w:rsidR="00B35E1B" w:rsidRPr="00F4409E" w:rsidRDefault="00B35E1B" w:rsidP="00092FC0">
            <w:pPr>
              <w:pStyle w:val="TableBlock"/>
              <w:spacing w:line="26" w:lineRule="atLeast"/>
              <w:rPr>
                <w:sz w:val="22"/>
                <w:szCs w:val="22"/>
                <w:rtl/>
              </w:rPr>
            </w:pPr>
            <w:r>
              <w:rPr>
                <w:rFonts w:hint="cs"/>
                <w:sz w:val="24"/>
                <w:szCs w:val="24"/>
                <w:rtl/>
              </w:rPr>
              <w:t>"</w:t>
            </w:r>
            <w:r w:rsidRPr="00F4409E">
              <w:rPr>
                <w:rFonts w:hint="eastAsia"/>
                <w:sz w:val="24"/>
                <w:szCs w:val="24"/>
                <w:rtl/>
              </w:rPr>
              <w:t>הכרז</w:t>
            </w:r>
            <w:r>
              <w:rPr>
                <w:rFonts w:hint="cs"/>
                <w:sz w:val="24"/>
                <w:szCs w:val="24"/>
                <w:rtl/>
              </w:rPr>
              <w:t xml:space="preserve">ה לפי </w:t>
            </w:r>
            <w:r w:rsidRPr="00F4409E">
              <w:rPr>
                <w:rFonts w:hint="eastAsia"/>
                <w:sz w:val="24"/>
                <w:szCs w:val="24"/>
                <w:rtl/>
              </w:rPr>
              <w:t>סעיף</w:t>
            </w:r>
            <w:r w:rsidRPr="00F4409E">
              <w:rPr>
                <w:sz w:val="24"/>
                <w:szCs w:val="24"/>
                <w:rtl/>
              </w:rPr>
              <w:t xml:space="preserve"> 6</w:t>
            </w:r>
            <w:r w:rsidRPr="00F4409E">
              <w:rPr>
                <w:rFonts w:hint="eastAsia"/>
                <w:sz w:val="24"/>
                <w:szCs w:val="24"/>
                <w:rtl/>
              </w:rPr>
              <w:t>ב</w:t>
            </w:r>
            <w:r w:rsidRPr="00F4409E">
              <w:rPr>
                <w:sz w:val="24"/>
                <w:szCs w:val="24"/>
                <w:rtl/>
              </w:rPr>
              <w:t xml:space="preserve"> </w:t>
            </w:r>
            <w:r w:rsidRPr="00F4409E">
              <w:rPr>
                <w:rFonts w:hint="eastAsia"/>
                <w:sz w:val="24"/>
                <w:szCs w:val="24"/>
                <w:rtl/>
              </w:rPr>
              <w:t>לחוק</w:t>
            </w:r>
            <w:r w:rsidRPr="00F4409E">
              <w:rPr>
                <w:sz w:val="24"/>
                <w:szCs w:val="24"/>
                <w:rtl/>
              </w:rPr>
              <w:t xml:space="preserve"> </w:t>
            </w:r>
            <w:r w:rsidRPr="00F4409E">
              <w:rPr>
                <w:rFonts w:hint="eastAsia"/>
                <w:sz w:val="24"/>
                <w:szCs w:val="24"/>
                <w:rtl/>
              </w:rPr>
              <w:t>סמכויות</w:t>
            </w:r>
            <w:r w:rsidRPr="00F4409E">
              <w:rPr>
                <w:sz w:val="24"/>
                <w:szCs w:val="24"/>
                <w:rtl/>
              </w:rPr>
              <w:t xml:space="preserve"> </w:t>
            </w:r>
            <w:r w:rsidRPr="00F4409E">
              <w:rPr>
                <w:rFonts w:hint="eastAsia"/>
                <w:sz w:val="24"/>
                <w:szCs w:val="24"/>
                <w:rtl/>
              </w:rPr>
              <w:t>לשם</w:t>
            </w:r>
            <w:r w:rsidRPr="00F4409E">
              <w:rPr>
                <w:sz w:val="24"/>
                <w:szCs w:val="24"/>
                <w:rtl/>
              </w:rPr>
              <w:t xml:space="preserve"> </w:t>
            </w:r>
            <w:r w:rsidRPr="00F4409E">
              <w:rPr>
                <w:rFonts w:hint="eastAsia"/>
                <w:sz w:val="24"/>
                <w:szCs w:val="24"/>
                <w:rtl/>
              </w:rPr>
              <w:t>שמירה</w:t>
            </w:r>
            <w:r w:rsidRPr="00F4409E">
              <w:rPr>
                <w:sz w:val="24"/>
                <w:szCs w:val="24"/>
                <w:rtl/>
              </w:rPr>
              <w:t xml:space="preserve"> </w:t>
            </w:r>
            <w:r w:rsidRPr="00F4409E">
              <w:rPr>
                <w:rFonts w:hint="eastAsia"/>
                <w:sz w:val="24"/>
                <w:szCs w:val="24"/>
                <w:rtl/>
              </w:rPr>
              <w:t>על</w:t>
            </w:r>
            <w:r w:rsidRPr="00F4409E">
              <w:rPr>
                <w:sz w:val="24"/>
                <w:szCs w:val="24"/>
                <w:rtl/>
              </w:rPr>
              <w:t xml:space="preserve"> </w:t>
            </w:r>
            <w:r w:rsidRPr="00F4409E">
              <w:rPr>
                <w:rFonts w:hint="eastAsia"/>
                <w:sz w:val="24"/>
                <w:szCs w:val="24"/>
                <w:rtl/>
              </w:rPr>
              <w:t>ביטחון</w:t>
            </w:r>
            <w:r w:rsidRPr="00F4409E">
              <w:rPr>
                <w:sz w:val="24"/>
                <w:szCs w:val="24"/>
                <w:rtl/>
              </w:rPr>
              <w:t xml:space="preserve"> </w:t>
            </w:r>
            <w:r w:rsidRPr="00F4409E">
              <w:rPr>
                <w:rFonts w:hint="eastAsia"/>
                <w:sz w:val="24"/>
                <w:szCs w:val="24"/>
                <w:rtl/>
              </w:rPr>
              <w:t>הציבור</w:t>
            </w:r>
            <w:r w:rsidRPr="00F4409E">
              <w:rPr>
                <w:sz w:val="24"/>
                <w:szCs w:val="24"/>
                <w:rtl/>
              </w:rPr>
              <w:t xml:space="preserve">, </w:t>
            </w:r>
            <w:r w:rsidRPr="00F4409E">
              <w:rPr>
                <w:rFonts w:hint="eastAsia"/>
                <w:sz w:val="24"/>
                <w:szCs w:val="24"/>
                <w:rtl/>
              </w:rPr>
              <w:t>התשס</w:t>
            </w:r>
            <w:r w:rsidRPr="00F4409E">
              <w:rPr>
                <w:sz w:val="24"/>
                <w:szCs w:val="24"/>
                <w:rtl/>
              </w:rPr>
              <w:t>"</w:t>
            </w:r>
            <w:r w:rsidRPr="00F4409E">
              <w:rPr>
                <w:rFonts w:hint="eastAsia"/>
                <w:sz w:val="24"/>
                <w:szCs w:val="24"/>
                <w:rtl/>
              </w:rPr>
              <w:t>ה</w:t>
            </w:r>
            <w:r w:rsidRPr="00F4409E">
              <w:rPr>
                <w:sz w:val="24"/>
                <w:szCs w:val="24"/>
                <w:rtl/>
              </w:rPr>
              <w:t>–2005."</w:t>
            </w:r>
            <w:r>
              <w:rPr>
                <w:rFonts w:hint="cs"/>
                <w:sz w:val="24"/>
                <w:szCs w:val="24"/>
                <w:rtl/>
              </w:rPr>
              <w:t>"</w:t>
            </w:r>
          </w:p>
        </w:tc>
      </w:tr>
    </w:tbl>
    <w:p w:rsidR="00B35E1B" w:rsidRDefault="00B35E1B" w:rsidP="00B35E1B"/>
    <w:p w:rsidR="00441C08" w:rsidRPr="00B35E1B" w:rsidRDefault="00441C08" w:rsidP="00F70510"/>
    <w:sectPr w:rsidR="00441C08" w:rsidRPr="00B35E1B" w:rsidSect="0055075E">
      <w:footerReference w:type="default" r:id="rId9"/>
      <w:pgSz w:w="11906" w:h="16838"/>
      <w:pgMar w:top="1247" w:right="1797" w:bottom="1247"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BA" w:rsidRDefault="00DF15BA" w:rsidP="003B248A">
      <w:pPr>
        <w:spacing w:after="0" w:line="240" w:lineRule="auto"/>
      </w:pPr>
      <w:r>
        <w:separator/>
      </w:r>
    </w:p>
  </w:endnote>
  <w:endnote w:type="continuationSeparator" w:id="0">
    <w:p w:rsidR="00DF15BA" w:rsidRDefault="00DF15BA" w:rsidP="003B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HadasaMFO">
    <w:altName w:val="Courier New"/>
    <w:panose1 w:val="00000000000000000000"/>
    <w:charset w:val="B1"/>
    <w:family w:val="auto"/>
    <w:notTrueType/>
    <w:pitch w:val="variable"/>
    <w:sig w:usb0="00000800"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2746144"/>
      <w:docPartObj>
        <w:docPartGallery w:val="Page Numbers (Bottom of Page)"/>
        <w:docPartUnique/>
      </w:docPartObj>
    </w:sdtPr>
    <w:sdtEndPr/>
    <w:sdtContent>
      <w:p w:rsidR="00B25DCC" w:rsidRDefault="00B25DCC">
        <w:pPr>
          <w:pStyle w:val="a6"/>
          <w:jc w:val="center"/>
          <w:rPr>
            <w:rtl/>
            <w:cs/>
          </w:rPr>
        </w:pPr>
        <w:r>
          <w:fldChar w:fldCharType="begin"/>
        </w:r>
        <w:r>
          <w:rPr>
            <w:rtl/>
            <w:cs/>
          </w:rPr>
          <w:instrText>PAGE   \* MERGEFORMAT</w:instrText>
        </w:r>
        <w:r>
          <w:fldChar w:fldCharType="separate"/>
        </w:r>
        <w:r w:rsidR="00272103" w:rsidRPr="00272103">
          <w:rPr>
            <w:noProof/>
            <w:rtl/>
            <w:lang w:val="he-IL"/>
          </w:rPr>
          <w:t>1</w:t>
        </w:r>
        <w:r>
          <w:fldChar w:fldCharType="end"/>
        </w:r>
      </w:p>
    </w:sdtContent>
  </w:sdt>
  <w:p w:rsidR="00266D5C" w:rsidRDefault="002721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BA" w:rsidRDefault="00DF15BA" w:rsidP="003B248A">
      <w:pPr>
        <w:spacing w:after="0" w:line="240" w:lineRule="auto"/>
      </w:pPr>
      <w:r>
        <w:separator/>
      </w:r>
    </w:p>
  </w:footnote>
  <w:footnote w:type="continuationSeparator" w:id="0">
    <w:p w:rsidR="00DF15BA" w:rsidRDefault="00DF15BA" w:rsidP="003B248A">
      <w:pPr>
        <w:spacing w:after="0" w:line="240" w:lineRule="auto"/>
      </w:pPr>
      <w:r>
        <w:continuationSeparator/>
      </w:r>
    </w:p>
  </w:footnote>
  <w:footnote w:id="1">
    <w:p w:rsidR="00B35E1B" w:rsidRDefault="00B35E1B" w:rsidP="00B35E1B">
      <w:pPr>
        <w:pStyle w:val="a3"/>
        <w:rPr>
          <w:rtl/>
        </w:rPr>
      </w:pPr>
      <w:r>
        <w:rPr>
          <w:rStyle w:val="a5"/>
        </w:rPr>
        <w:footnoteRef/>
      </w:r>
      <w:r>
        <w:rPr>
          <w:rtl/>
        </w:rPr>
        <w:t xml:space="preserve"> </w:t>
      </w:r>
      <w:r w:rsidRPr="00297FB0">
        <w:rPr>
          <w:rFonts w:cs="David" w:hint="eastAsia"/>
          <w:rtl/>
        </w:rPr>
        <w:t>ס</w:t>
      </w:r>
      <w:r w:rsidRPr="00297FB0">
        <w:rPr>
          <w:rFonts w:cs="David"/>
          <w:rtl/>
        </w:rPr>
        <w:t>"ח התשס"ה, עמ' 758; התשע"ד, עמ' 737.</w:t>
      </w:r>
    </w:p>
  </w:footnote>
  <w:footnote w:id="2">
    <w:p w:rsidR="00B35E1B" w:rsidRDefault="00B35E1B" w:rsidP="00B35E1B">
      <w:pPr>
        <w:pStyle w:val="a3"/>
        <w:rPr>
          <w:rtl/>
        </w:rPr>
      </w:pPr>
      <w:r w:rsidRPr="00F95BED">
        <w:rPr>
          <w:rStyle w:val="a5"/>
          <w:rFonts w:cs="David"/>
        </w:rPr>
        <w:footnoteRef/>
      </w:r>
      <w:r w:rsidRPr="00F95BED">
        <w:rPr>
          <w:rFonts w:cs="David"/>
          <w:rtl/>
        </w:rPr>
        <w:t xml:space="preserve"> </w:t>
      </w:r>
      <w:r w:rsidRPr="00F95BED">
        <w:rPr>
          <w:rFonts w:cs="David" w:hint="eastAsia"/>
          <w:rtl/>
        </w:rPr>
        <w:t>ס</w:t>
      </w:r>
      <w:r w:rsidRPr="00F95BED">
        <w:rPr>
          <w:rFonts w:cs="David"/>
          <w:rtl/>
        </w:rPr>
        <w:t>"ח התש"ס, עמ' 190; התשע"ה, עמ'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2B1C"/>
    <w:multiLevelType w:val="hybridMultilevel"/>
    <w:tmpl w:val="607C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F2B9F"/>
    <w:multiLevelType w:val="hybridMultilevel"/>
    <w:tmpl w:val="CC64BDC8"/>
    <w:lvl w:ilvl="0" w:tplc="3E3E1B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439E1"/>
    <w:multiLevelType w:val="hybridMultilevel"/>
    <w:tmpl w:val="607C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D46B1"/>
    <w:multiLevelType w:val="hybridMultilevel"/>
    <w:tmpl w:val="FC82B758"/>
    <w:lvl w:ilvl="0" w:tplc="52B8BA04">
      <w:start w:val="1"/>
      <w:numFmt w:val="decimal"/>
      <w:lvlText w:val="(%1)"/>
      <w:lvlJc w:val="left"/>
      <w:pPr>
        <w:ind w:left="984" w:hanging="360"/>
      </w:pPr>
      <w:rPr>
        <w:rFonts w:hint="default"/>
      </w:rPr>
    </w:lvl>
    <w:lvl w:ilvl="1" w:tplc="3978FC26">
      <w:start w:val="1"/>
      <w:numFmt w:val="hebrew1"/>
      <w:lvlText w:val="(%2)"/>
      <w:lvlJc w:val="left"/>
      <w:pPr>
        <w:ind w:left="1704" w:hanging="360"/>
      </w:pPr>
      <w:rPr>
        <w:rFonts w:ascii="Arial" w:eastAsia="Arial Unicode MS" w:hAnsi="Arial" w:cs="David"/>
      </w:rPr>
    </w:lvl>
    <w:lvl w:ilvl="2" w:tplc="0409001B">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nsid w:val="4C9F2BF4"/>
    <w:multiLevelType w:val="hybridMultilevel"/>
    <w:tmpl w:val="100E2D58"/>
    <w:lvl w:ilvl="0" w:tplc="C9429CAC">
      <w:start w:val="1"/>
      <w:numFmt w:val="hebrew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nsid w:val="5352374B"/>
    <w:multiLevelType w:val="hybridMultilevel"/>
    <w:tmpl w:val="5684964E"/>
    <w:lvl w:ilvl="0" w:tplc="AF6A2900">
      <w:start w:val="1"/>
      <w:numFmt w:val="hebrew1"/>
      <w:lvlText w:val="%1."/>
      <w:lvlJc w:val="left"/>
      <w:pPr>
        <w:ind w:left="-351" w:hanging="360"/>
      </w:pPr>
      <w:rPr>
        <w:rFonts w:hint="default"/>
      </w:r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6">
    <w:nsid w:val="59FE3D03"/>
    <w:multiLevelType w:val="hybridMultilevel"/>
    <w:tmpl w:val="BD1EADFA"/>
    <w:lvl w:ilvl="0" w:tplc="11B00EF2">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nsid w:val="63876DD6"/>
    <w:multiLevelType w:val="hybridMultilevel"/>
    <w:tmpl w:val="CDB2BE0E"/>
    <w:lvl w:ilvl="0" w:tplc="BF8CF9C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2E5369"/>
    <w:multiLevelType w:val="hybridMultilevel"/>
    <w:tmpl w:val="607C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8"/>
  </w:num>
  <w:num w:numId="5">
    <w:abstractNumId w:val="5"/>
  </w:num>
  <w:num w:numId="6">
    <w:abstractNumId w:val="2"/>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A"/>
    <w:rsid w:val="00017220"/>
    <w:rsid w:val="00020E20"/>
    <w:rsid w:val="00051BB1"/>
    <w:rsid w:val="00055B1C"/>
    <w:rsid w:val="00083B9B"/>
    <w:rsid w:val="00094B0B"/>
    <w:rsid w:val="000A2438"/>
    <w:rsid w:val="000B1420"/>
    <w:rsid w:val="000B21E3"/>
    <w:rsid w:val="000C72B7"/>
    <w:rsid w:val="000D4E8A"/>
    <w:rsid w:val="000F1705"/>
    <w:rsid w:val="000F1BBA"/>
    <w:rsid w:val="0011338B"/>
    <w:rsid w:val="001170AA"/>
    <w:rsid w:val="00134598"/>
    <w:rsid w:val="00157AB7"/>
    <w:rsid w:val="0017282B"/>
    <w:rsid w:val="001776CA"/>
    <w:rsid w:val="00193E1D"/>
    <w:rsid w:val="00195562"/>
    <w:rsid w:val="001D5256"/>
    <w:rsid w:val="001E290A"/>
    <w:rsid w:val="001F2618"/>
    <w:rsid w:val="001F2C9A"/>
    <w:rsid w:val="001F7FA1"/>
    <w:rsid w:val="00224676"/>
    <w:rsid w:val="002453B5"/>
    <w:rsid w:val="0025133C"/>
    <w:rsid w:val="00251DF7"/>
    <w:rsid w:val="00252C38"/>
    <w:rsid w:val="002571BA"/>
    <w:rsid w:val="0025746A"/>
    <w:rsid w:val="00272103"/>
    <w:rsid w:val="00276667"/>
    <w:rsid w:val="002817BD"/>
    <w:rsid w:val="00282BBD"/>
    <w:rsid w:val="00286817"/>
    <w:rsid w:val="00293346"/>
    <w:rsid w:val="002A2252"/>
    <w:rsid w:val="002C7C09"/>
    <w:rsid w:val="00311764"/>
    <w:rsid w:val="00314774"/>
    <w:rsid w:val="00322E95"/>
    <w:rsid w:val="00331A0F"/>
    <w:rsid w:val="00362679"/>
    <w:rsid w:val="003814CF"/>
    <w:rsid w:val="00394AF3"/>
    <w:rsid w:val="003B248A"/>
    <w:rsid w:val="00400E69"/>
    <w:rsid w:val="00404902"/>
    <w:rsid w:val="00432E3E"/>
    <w:rsid w:val="00441C08"/>
    <w:rsid w:val="004442CE"/>
    <w:rsid w:val="00460F24"/>
    <w:rsid w:val="004700E5"/>
    <w:rsid w:val="00482B08"/>
    <w:rsid w:val="004958AE"/>
    <w:rsid w:val="004B42D3"/>
    <w:rsid w:val="004B6C52"/>
    <w:rsid w:val="004E24B1"/>
    <w:rsid w:val="004F2A08"/>
    <w:rsid w:val="005043E9"/>
    <w:rsid w:val="00510DE3"/>
    <w:rsid w:val="0051612F"/>
    <w:rsid w:val="00530F1E"/>
    <w:rsid w:val="005459B4"/>
    <w:rsid w:val="00557EED"/>
    <w:rsid w:val="00597B7F"/>
    <w:rsid w:val="005A3A04"/>
    <w:rsid w:val="005A60BC"/>
    <w:rsid w:val="005B1703"/>
    <w:rsid w:val="005C0803"/>
    <w:rsid w:val="005C6C03"/>
    <w:rsid w:val="005D093E"/>
    <w:rsid w:val="005D312F"/>
    <w:rsid w:val="005D5AD4"/>
    <w:rsid w:val="00622229"/>
    <w:rsid w:val="0065228D"/>
    <w:rsid w:val="00670D91"/>
    <w:rsid w:val="006B4D09"/>
    <w:rsid w:val="006F1138"/>
    <w:rsid w:val="00711DC1"/>
    <w:rsid w:val="00765ACD"/>
    <w:rsid w:val="00766AA4"/>
    <w:rsid w:val="0077276E"/>
    <w:rsid w:val="00782C4B"/>
    <w:rsid w:val="00784F61"/>
    <w:rsid w:val="007D0A44"/>
    <w:rsid w:val="007D17A1"/>
    <w:rsid w:val="007D4DEF"/>
    <w:rsid w:val="007F1039"/>
    <w:rsid w:val="00807075"/>
    <w:rsid w:val="008277FA"/>
    <w:rsid w:val="00835CED"/>
    <w:rsid w:val="00835EA7"/>
    <w:rsid w:val="008513BC"/>
    <w:rsid w:val="00872A86"/>
    <w:rsid w:val="00876A9B"/>
    <w:rsid w:val="0088378B"/>
    <w:rsid w:val="00896648"/>
    <w:rsid w:val="008A332C"/>
    <w:rsid w:val="008B02B3"/>
    <w:rsid w:val="008C7E43"/>
    <w:rsid w:val="008F49B6"/>
    <w:rsid w:val="00907531"/>
    <w:rsid w:val="009116D8"/>
    <w:rsid w:val="0091449F"/>
    <w:rsid w:val="009404A7"/>
    <w:rsid w:val="00960868"/>
    <w:rsid w:val="00967265"/>
    <w:rsid w:val="009734D3"/>
    <w:rsid w:val="00997A72"/>
    <w:rsid w:val="009A0230"/>
    <w:rsid w:val="009A59BF"/>
    <w:rsid w:val="009F70B2"/>
    <w:rsid w:val="00A01D32"/>
    <w:rsid w:val="00A03326"/>
    <w:rsid w:val="00A47178"/>
    <w:rsid w:val="00A639C1"/>
    <w:rsid w:val="00A72267"/>
    <w:rsid w:val="00A75B2C"/>
    <w:rsid w:val="00A77765"/>
    <w:rsid w:val="00A85EED"/>
    <w:rsid w:val="00A96793"/>
    <w:rsid w:val="00AC21B5"/>
    <w:rsid w:val="00AC2B0F"/>
    <w:rsid w:val="00AC34D3"/>
    <w:rsid w:val="00B21D1E"/>
    <w:rsid w:val="00B25DCC"/>
    <w:rsid w:val="00B32619"/>
    <w:rsid w:val="00B35E1B"/>
    <w:rsid w:val="00B44CB6"/>
    <w:rsid w:val="00B50A22"/>
    <w:rsid w:val="00B51304"/>
    <w:rsid w:val="00B9602C"/>
    <w:rsid w:val="00BB109D"/>
    <w:rsid w:val="00BB34A1"/>
    <w:rsid w:val="00BD0470"/>
    <w:rsid w:val="00BD4865"/>
    <w:rsid w:val="00BE0E42"/>
    <w:rsid w:val="00BE1E8A"/>
    <w:rsid w:val="00BE317A"/>
    <w:rsid w:val="00BF74FD"/>
    <w:rsid w:val="00C104AF"/>
    <w:rsid w:val="00C16A52"/>
    <w:rsid w:val="00C23985"/>
    <w:rsid w:val="00C44C23"/>
    <w:rsid w:val="00C87DEC"/>
    <w:rsid w:val="00CC1810"/>
    <w:rsid w:val="00CC2E65"/>
    <w:rsid w:val="00CC4031"/>
    <w:rsid w:val="00CD4C31"/>
    <w:rsid w:val="00CF007B"/>
    <w:rsid w:val="00D04C20"/>
    <w:rsid w:val="00D06EDD"/>
    <w:rsid w:val="00D11FF5"/>
    <w:rsid w:val="00D36576"/>
    <w:rsid w:val="00D51CBE"/>
    <w:rsid w:val="00D951BE"/>
    <w:rsid w:val="00D97358"/>
    <w:rsid w:val="00D977D5"/>
    <w:rsid w:val="00DC40B0"/>
    <w:rsid w:val="00DC76E1"/>
    <w:rsid w:val="00DF15BA"/>
    <w:rsid w:val="00DF7E48"/>
    <w:rsid w:val="00E023A9"/>
    <w:rsid w:val="00E07CC3"/>
    <w:rsid w:val="00E20014"/>
    <w:rsid w:val="00E274CE"/>
    <w:rsid w:val="00E6209E"/>
    <w:rsid w:val="00EA2144"/>
    <w:rsid w:val="00EB01C8"/>
    <w:rsid w:val="00F05631"/>
    <w:rsid w:val="00F17502"/>
    <w:rsid w:val="00F20F63"/>
    <w:rsid w:val="00F25362"/>
    <w:rsid w:val="00F3519B"/>
    <w:rsid w:val="00F35C3E"/>
    <w:rsid w:val="00F50194"/>
    <w:rsid w:val="00F50C85"/>
    <w:rsid w:val="00F567B7"/>
    <w:rsid w:val="00F70510"/>
    <w:rsid w:val="00F766A5"/>
    <w:rsid w:val="00FA4B86"/>
    <w:rsid w:val="00FA7138"/>
    <w:rsid w:val="00FC39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8A"/>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Block">
    <w:name w:val="Table Block"/>
    <w:basedOn w:val="a"/>
    <w:rsid w:val="003B248A"/>
    <w:pPr>
      <w:keepLines/>
      <w:widowControl w:val="0"/>
      <w:tabs>
        <w:tab w:val="left" w:pos="624"/>
        <w:tab w:val="left" w:pos="1247"/>
      </w:tabs>
      <w:autoSpaceDE w:val="0"/>
      <w:autoSpaceDN w:val="0"/>
      <w:adjustRightInd w:val="0"/>
      <w:snapToGrid w:val="0"/>
      <w:spacing w:after="0" w:line="360" w:lineRule="auto"/>
      <w:jc w:val="both"/>
      <w:textAlignment w:val="center"/>
    </w:pPr>
    <w:rPr>
      <w:rFonts w:ascii="Arial" w:eastAsia="Arial Unicode MS" w:hAnsi="Arial" w:cs="David"/>
      <w:snapToGrid w:val="0"/>
      <w:color w:val="000000"/>
      <w:sz w:val="20"/>
      <w:szCs w:val="26"/>
      <w:lang w:eastAsia="ja-JP"/>
    </w:rPr>
  </w:style>
  <w:style w:type="paragraph" w:customStyle="1" w:styleId="TableText">
    <w:name w:val="Table Text"/>
    <w:basedOn w:val="a"/>
    <w:rsid w:val="003B248A"/>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snapToGrid w:val="0"/>
      <w:color w:val="000000"/>
      <w:sz w:val="20"/>
      <w:szCs w:val="26"/>
      <w:lang w:eastAsia="ja-JP"/>
    </w:rPr>
  </w:style>
  <w:style w:type="paragraph" w:styleId="a3">
    <w:name w:val="footnote text"/>
    <w:basedOn w:val="a"/>
    <w:link w:val="a4"/>
    <w:semiHidden/>
    <w:unhideWhenUsed/>
    <w:rsid w:val="003B248A"/>
    <w:pPr>
      <w:spacing w:after="0" w:line="240" w:lineRule="auto"/>
    </w:pPr>
    <w:rPr>
      <w:sz w:val="20"/>
      <w:szCs w:val="20"/>
    </w:rPr>
  </w:style>
  <w:style w:type="character" w:customStyle="1" w:styleId="a4">
    <w:name w:val="טקסט הערת שוליים תו"/>
    <w:basedOn w:val="a0"/>
    <w:link w:val="a3"/>
    <w:semiHidden/>
    <w:rsid w:val="003B248A"/>
    <w:rPr>
      <w:sz w:val="20"/>
      <w:szCs w:val="20"/>
    </w:rPr>
  </w:style>
  <w:style w:type="character" w:styleId="a5">
    <w:name w:val="footnote reference"/>
    <w:aliases w:val="Footnote Reference"/>
    <w:basedOn w:val="a0"/>
    <w:semiHidden/>
    <w:unhideWhenUsed/>
    <w:rsid w:val="003B248A"/>
    <w:rPr>
      <w:vertAlign w:val="superscript"/>
    </w:rPr>
  </w:style>
  <w:style w:type="paragraph" w:styleId="a6">
    <w:name w:val="footer"/>
    <w:basedOn w:val="a"/>
    <w:link w:val="a7"/>
    <w:uiPriority w:val="99"/>
    <w:unhideWhenUsed/>
    <w:rsid w:val="003B248A"/>
    <w:pPr>
      <w:tabs>
        <w:tab w:val="center" w:pos="4153"/>
        <w:tab w:val="right" w:pos="8306"/>
      </w:tabs>
      <w:spacing w:after="0" w:line="240" w:lineRule="auto"/>
    </w:pPr>
  </w:style>
  <w:style w:type="character" w:customStyle="1" w:styleId="a7">
    <w:name w:val="כותרת תחתונה תו"/>
    <w:basedOn w:val="a0"/>
    <w:link w:val="a6"/>
    <w:uiPriority w:val="99"/>
    <w:rsid w:val="003B248A"/>
  </w:style>
  <w:style w:type="paragraph" w:customStyle="1" w:styleId="HeadHatzaotHok">
    <w:name w:val="Head HatzaotHok"/>
    <w:basedOn w:val="a"/>
    <w:rsid w:val="003B248A"/>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TableHead">
    <w:name w:val="Table Head"/>
    <w:basedOn w:val="TableText"/>
    <w:rsid w:val="003B248A"/>
    <w:pPr>
      <w:ind w:right="0"/>
      <w:jc w:val="center"/>
    </w:pPr>
    <w:rPr>
      <w:b/>
      <w:bCs/>
    </w:rPr>
  </w:style>
  <w:style w:type="paragraph" w:customStyle="1" w:styleId="TableSideHeading">
    <w:name w:val="Table SideHeading"/>
    <w:basedOn w:val="TableText"/>
    <w:rsid w:val="003B248A"/>
  </w:style>
  <w:style w:type="paragraph" w:customStyle="1" w:styleId="Noparagraphstyle">
    <w:name w:val="[No paragraph style]"/>
    <w:rsid w:val="003B248A"/>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 w:val="20"/>
      <w:szCs w:val="26"/>
      <w:lang w:eastAsia="ja-JP"/>
    </w:rPr>
  </w:style>
  <w:style w:type="paragraph" w:customStyle="1" w:styleId="TableInnerSideHeading">
    <w:name w:val="Table InnerSideHeading"/>
    <w:basedOn w:val="TableSideHeading"/>
    <w:rsid w:val="003B248A"/>
  </w:style>
  <w:style w:type="paragraph" w:styleId="a8">
    <w:name w:val="Balloon Text"/>
    <w:basedOn w:val="a"/>
    <w:link w:val="a9"/>
    <w:uiPriority w:val="99"/>
    <w:semiHidden/>
    <w:unhideWhenUsed/>
    <w:rsid w:val="00B51304"/>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B51304"/>
    <w:rPr>
      <w:rFonts w:ascii="Tahoma" w:hAnsi="Tahoma" w:cs="Tahoma"/>
      <w:sz w:val="18"/>
      <w:szCs w:val="18"/>
    </w:rPr>
  </w:style>
  <w:style w:type="paragraph" w:customStyle="1" w:styleId="Cover1-Reshumot">
    <w:name w:val="Cover 1-Reshumot"/>
    <w:basedOn w:val="a"/>
    <w:link w:val="Cover1-Reshumot0"/>
    <w:rsid w:val="00BF74FD"/>
    <w:pPr>
      <w:widowControl w:val="0"/>
      <w:tabs>
        <w:tab w:val="left" w:pos="1191"/>
        <w:tab w:val="left" w:pos="1587"/>
      </w:tabs>
      <w:autoSpaceDE w:val="0"/>
      <w:autoSpaceDN w:val="0"/>
      <w:adjustRightInd w:val="0"/>
      <w:snapToGrid w:val="0"/>
      <w:spacing w:before="240" w:after="240" w:line="480" w:lineRule="auto"/>
      <w:jc w:val="center"/>
      <w:textAlignment w:val="center"/>
    </w:pPr>
    <w:rPr>
      <w:rFonts w:ascii="Arial" w:eastAsia="Arial Unicode MS" w:hAnsi="Arial" w:cs="David"/>
      <w:snapToGrid w:val="0"/>
      <w:color w:val="000000"/>
      <w:sz w:val="20"/>
      <w:szCs w:val="26"/>
      <w:lang w:eastAsia="ja-JP"/>
    </w:rPr>
  </w:style>
  <w:style w:type="character" w:customStyle="1" w:styleId="Cover1-Reshumot0">
    <w:name w:val="Cover 1-Reshumot תו"/>
    <w:link w:val="Cover1-Reshumot"/>
    <w:rsid w:val="00BF74FD"/>
    <w:rPr>
      <w:rFonts w:ascii="Arial" w:eastAsia="Arial Unicode MS" w:hAnsi="Arial" w:cs="David"/>
      <w:snapToGrid w:val="0"/>
      <w:color w:val="000000"/>
      <w:sz w:val="20"/>
      <w:szCs w:val="26"/>
      <w:lang w:eastAsia="ja-JP"/>
    </w:rPr>
  </w:style>
  <w:style w:type="paragraph" w:styleId="aa">
    <w:name w:val="List Paragraph"/>
    <w:basedOn w:val="a"/>
    <w:uiPriority w:val="34"/>
    <w:qFormat/>
    <w:rsid w:val="009734D3"/>
    <w:pPr>
      <w:ind w:left="720"/>
      <w:contextualSpacing/>
    </w:pPr>
  </w:style>
  <w:style w:type="character" w:styleId="Hyperlink">
    <w:name w:val="Hyperlink"/>
    <w:basedOn w:val="a0"/>
    <w:rsid w:val="0017282B"/>
    <w:rPr>
      <w:color w:val="0000FF"/>
      <w:u w:val="single"/>
    </w:rPr>
  </w:style>
  <w:style w:type="paragraph" w:styleId="ab">
    <w:name w:val="Revision"/>
    <w:hidden/>
    <w:uiPriority w:val="99"/>
    <w:semiHidden/>
    <w:rsid w:val="00872A86"/>
    <w:pPr>
      <w:spacing w:after="0" w:line="240" w:lineRule="auto"/>
    </w:pPr>
  </w:style>
  <w:style w:type="paragraph" w:styleId="ac">
    <w:name w:val="header"/>
    <w:basedOn w:val="a"/>
    <w:link w:val="ad"/>
    <w:uiPriority w:val="99"/>
    <w:unhideWhenUsed/>
    <w:rsid w:val="00B25DCC"/>
    <w:pPr>
      <w:tabs>
        <w:tab w:val="center" w:pos="4153"/>
        <w:tab w:val="right" w:pos="8306"/>
      </w:tabs>
      <w:spacing w:after="0" w:line="240" w:lineRule="auto"/>
    </w:pPr>
  </w:style>
  <w:style w:type="character" w:customStyle="1" w:styleId="ad">
    <w:name w:val="כותרת עליונה תו"/>
    <w:basedOn w:val="a0"/>
    <w:link w:val="ac"/>
    <w:uiPriority w:val="99"/>
    <w:rsid w:val="00B25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8A"/>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Block">
    <w:name w:val="Table Block"/>
    <w:basedOn w:val="a"/>
    <w:rsid w:val="003B248A"/>
    <w:pPr>
      <w:keepLines/>
      <w:widowControl w:val="0"/>
      <w:tabs>
        <w:tab w:val="left" w:pos="624"/>
        <w:tab w:val="left" w:pos="1247"/>
      </w:tabs>
      <w:autoSpaceDE w:val="0"/>
      <w:autoSpaceDN w:val="0"/>
      <w:adjustRightInd w:val="0"/>
      <w:snapToGrid w:val="0"/>
      <w:spacing w:after="0" w:line="360" w:lineRule="auto"/>
      <w:jc w:val="both"/>
      <w:textAlignment w:val="center"/>
    </w:pPr>
    <w:rPr>
      <w:rFonts w:ascii="Arial" w:eastAsia="Arial Unicode MS" w:hAnsi="Arial" w:cs="David"/>
      <w:snapToGrid w:val="0"/>
      <w:color w:val="000000"/>
      <w:sz w:val="20"/>
      <w:szCs w:val="26"/>
      <w:lang w:eastAsia="ja-JP"/>
    </w:rPr>
  </w:style>
  <w:style w:type="paragraph" w:customStyle="1" w:styleId="TableText">
    <w:name w:val="Table Text"/>
    <w:basedOn w:val="a"/>
    <w:rsid w:val="003B248A"/>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snapToGrid w:val="0"/>
      <w:color w:val="000000"/>
      <w:sz w:val="20"/>
      <w:szCs w:val="26"/>
      <w:lang w:eastAsia="ja-JP"/>
    </w:rPr>
  </w:style>
  <w:style w:type="paragraph" w:styleId="a3">
    <w:name w:val="footnote text"/>
    <w:basedOn w:val="a"/>
    <w:link w:val="a4"/>
    <w:semiHidden/>
    <w:unhideWhenUsed/>
    <w:rsid w:val="003B248A"/>
    <w:pPr>
      <w:spacing w:after="0" w:line="240" w:lineRule="auto"/>
    </w:pPr>
    <w:rPr>
      <w:sz w:val="20"/>
      <w:szCs w:val="20"/>
    </w:rPr>
  </w:style>
  <w:style w:type="character" w:customStyle="1" w:styleId="a4">
    <w:name w:val="טקסט הערת שוליים תו"/>
    <w:basedOn w:val="a0"/>
    <w:link w:val="a3"/>
    <w:semiHidden/>
    <w:rsid w:val="003B248A"/>
    <w:rPr>
      <w:sz w:val="20"/>
      <w:szCs w:val="20"/>
    </w:rPr>
  </w:style>
  <w:style w:type="character" w:styleId="a5">
    <w:name w:val="footnote reference"/>
    <w:aliases w:val="Footnote Reference"/>
    <w:basedOn w:val="a0"/>
    <w:semiHidden/>
    <w:unhideWhenUsed/>
    <w:rsid w:val="003B248A"/>
    <w:rPr>
      <w:vertAlign w:val="superscript"/>
    </w:rPr>
  </w:style>
  <w:style w:type="paragraph" w:styleId="a6">
    <w:name w:val="footer"/>
    <w:basedOn w:val="a"/>
    <w:link w:val="a7"/>
    <w:uiPriority w:val="99"/>
    <w:unhideWhenUsed/>
    <w:rsid w:val="003B248A"/>
    <w:pPr>
      <w:tabs>
        <w:tab w:val="center" w:pos="4153"/>
        <w:tab w:val="right" w:pos="8306"/>
      </w:tabs>
      <w:spacing w:after="0" w:line="240" w:lineRule="auto"/>
    </w:pPr>
  </w:style>
  <w:style w:type="character" w:customStyle="1" w:styleId="a7">
    <w:name w:val="כותרת תחתונה תו"/>
    <w:basedOn w:val="a0"/>
    <w:link w:val="a6"/>
    <w:uiPriority w:val="99"/>
    <w:rsid w:val="003B248A"/>
  </w:style>
  <w:style w:type="paragraph" w:customStyle="1" w:styleId="HeadHatzaotHok">
    <w:name w:val="Head HatzaotHok"/>
    <w:basedOn w:val="a"/>
    <w:rsid w:val="003B248A"/>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TableHead">
    <w:name w:val="Table Head"/>
    <w:basedOn w:val="TableText"/>
    <w:rsid w:val="003B248A"/>
    <w:pPr>
      <w:ind w:right="0"/>
      <w:jc w:val="center"/>
    </w:pPr>
    <w:rPr>
      <w:b/>
      <w:bCs/>
    </w:rPr>
  </w:style>
  <w:style w:type="paragraph" w:customStyle="1" w:styleId="TableSideHeading">
    <w:name w:val="Table SideHeading"/>
    <w:basedOn w:val="TableText"/>
    <w:rsid w:val="003B248A"/>
  </w:style>
  <w:style w:type="paragraph" w:customStyle="1" w:styleId="Noparagraphstyle">
    <w:name w:val="[No paragraph style]"/>
    <w:rsid w:val="003B248A"/>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 w:val="20"/>
      <w:szCs w:val="26"/>
      <w:lang w:eastAsia="ja-JP"/>
    </w:rPr>
  </w:style>
  <w:style w:type="paragraph" w:customStyle="1" w:styleId="TableInnerSideHeading">
    <w:name w:val="Table InnerSideHeading"/>
    <w:basedOn w:val="TableSideHeading"/>
    <w:rsid w:val="003B248A"/>
  </w:style>
  <w:style w:type="paragraph" w:styleId="a8">
    <w:name w:val="Balloon Text"/>
    <w:basedOn w:val="a"/>
    <w:link w:val="a9"/>
    <w:uiPriority w:val="99"/>
    <w:semiHidden/>
    <w:unhideWhenUsed/>
    <w:rsid w:val="00B51304"/>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B51304"/>
    <w:rPr>
      <w:rFonts w:ascii="Tahoma" w:hAnsi="Tahoma" w:cs="Tahoma"/>
      <w:sz w:val="18"/>
      <w:szCs w:val="18"/>
    </w:rPr>
  </w:style>
  <w:style w:type="paragraph" w:customStyle="1" w:styleId="Cover1-Reshumot">
    <w:name w:val="Cover 1-Reshumot"/>
    <w:basedOn w:val="a"/>
    <w:link w:val="Cover1-Reshumot0"/>
    <w:rsid w:val="00BF74FD"/>
    <w:pPr>
      <w:widowControl w:val="0"/>
      <w:tabs>
        <w:tab w:val="left" w:pos="1191"/>
        <w:tab w:val="left" w:pos="1587"/>
      </w:tabs>
      <w:autoSpaceDE w:val="0"/>
      <w:autoSpaceDN w:val="0"/>
      <w:adjustRightInd w:val="0"/>
      <w:snapToGrid w:val="0"/>
      <w:spacing w:before="240" w:after="240" w:line="480" w:lineRule="auto"/>
      <w:jc w:val="center"/>
      <w:textAlignment w:val="center"/>
    </w:pPr>
    <w:rPr>
      <w:rFonts w:ascii="Arial" w:eastAsia="Arial Unicode MS" w:hAnsi="Arial" w:cs="David"/>
      <w:snapToGrid w:val="0"/>
      <w:color w:val="000000"/>
      <w:sz w:val="20"/>
      <w:szCs w:val="26"/>
      <w:lang w:eastAsia="ja-JP"/>
    </w:rPr>
  </w:style>
  <w:style w:type="character" w:customStyle="1" w:styleId="Cover1-Reshumot0">
    <w:name w:val="Cover 1-Reshumot תו"/>
    <w:link w:val="Cover1-Reshumot"/>
    <w:rsid w:val="00BF74FD"/>
    <w:rPr>
      <w:rFonts w:ascii="Arial" w:eastAsia="Arial Unicode MS" w:hAnsi="Arial" w:cs="David"/>
      <w:snapToGrid w:val="0"/>
      <w:color w:val="000000"/>
      <w:sz w:val="20"/>
      <w:szCs w:val="26"/>
      <w:lang w:eastAsia="ja-JP"/>
    </w:rPr>
  </w:style>
  <w:style w:type="paragraph" w:styleId="aa">
    <w:name w:val="List Paragraph"/>
    <w:basedOn w:val="a"/>
    <w:uiPriority w:val="34"/>
    <w:qFormat/>
    <w:rsid w:val="009734D3"/>
    <w:pPr>
      <w:ind w:left="720"/>
      <w:contextualSpacing/>
    </w:pPr>
  </w:style>
  <w:style w:type="character" w:styleId="Hyperlink">
    <w:name w:val="Hyperlink"/>
    <w:basedOn w:val="a0"/>
    <w:rsid w:val="0017282B"/>
    <w:rPr>
      <w:color w:val="0000FF"/>
      <w:u w:val="single"/>
    </w:rPr>
  </w:style>
  <w:style w:type="paragraph" w:styleId="ab">
    <w:name w:val="Revision"/>
    <w:hidden/>
    <w:uiPriority w:val="99"/>
    <w:semiHidden/>
    <w:rsid w:val="00872A86"/>
    <w:pPr>
      <w:spacing w:after="0" w:line="240" w:lineRule="auto"/>
    </w:pPr>
  </w:style>
  <w:style w:type="paragraph" w:styleId="ac">
    <w:name w:val="header"/>
    <w:basedOn w:val="a"/>
    <w:link w:val="ad"/>
    <w:uiPriority w:val="99"/>
    <w:unhideWhenUsed/>
    <w:rsid w:val="00B25DCC"/>
    <w:pPr>
      <w:tabs>
        <w:tab w:val="center" w:pos="4153"/>
        <w:tab w:val="right" w:pos="8306"/>
      </w:tabs>
      <w:spacing w:after="0" w:line="240" w:lineRule="auto"/>
    </w:pPr>
  </w:style>
  <w:style w:type="character" w:customStyle="1" w:styleId="ad">
    <w:name w:val="כותרת עליונה תו"/>
    <w:basedOn w:val="a0"/>
    <w:link w:val="ac"/>
    <w:uiPriority w:val="99"/>
    <w:rsid w:val="00B2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A65C1-1232-414D-B9F3-A12A8E69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6488</Characters>
  <Application>Microsoft Office Word</Application>
  <DocSecurity>4</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סיגל קוגוט</dc:creator>
  <cp:lastModifiedBy>חופית עלפי</cp:lastModifiedBy>
  <cp:revision>2</cp:revision>
  <cp:lastPrinted>2015-12-16T08:12:00Z</cp:lastPrinted>
  <dcterms:created xsi:type="dcterms:W3CDTF">2016-01-10T09:49:00Z</dcterms:created>
  <dcterms:modified xsi:type="dcterms:W3CDTF">2016-01-10T09:49:00Z</dcterms:modified>
</cp:coreProperties>
</file>