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0D" w:rsidRPr="00FB340D" w:rsidRDefault="00FB340D" w:rsidP="00FB340D">
      <w:pPr>
        <w:pStyle w:val="a7"/>
        <w:rPr>
          <w:rFonts w:cs="David"/>
          <w:rtl/>
        </w:rPr>
      </w:pPr>
      <w:bookmarkStart w:id="0" w:name="_GoBack"/>
      <w:bookmarkEnd w:id="0"/>
      <w:r w:rsidRPr="00FB340D">
        <w:rPr>
          <w:rFonts w:cs="David" w:hint="cs"/>
          <w:u w:val="single"/>
          <w:rtl/>
        </w:rPr>
        <w:t>אל</w:t>
      </w:r>
      <w:r w:rsidRPr="00FB340D">
        <w:rPr>
          <w:rFonts w:cs="David" w:hint="cs"/>
          <w:rtl/>
        </w:rPr>
        <w:t xml:space="preserve">: חברי ועדת </w:t>
      </w:r>
      <w:r>
        <w:rPr>
          <w:rFonts w:cs="David" w:hint="cs"/>
          <w:rtl/>
        </w:rPr>
        <w:t>ה</w:t>
      </w:r>
      <w:r w:rsidRPr="00FB340D">
        <w:rPr>
          <w:rFonts w:cs="David" w:hint="cs"/>
          <w:rtl/>
        </w:rPr>
        <w:t>חוקה, חוק ומשפט</w:t>
      </w:r>
    </w:p>
    <w:p w:rsidR="00FB340D" w:rsidRDefault="00FB340D" w:rsidP="00FB340D">
      <w:pPr>
        <w:rPr>
          <w:rFonts w:cs="David"/>
          <w:sz w:val="24"/>
          <w:szCs w:val="24"/>
          <w:u w:val="single"/>
          <w:rtl/>
        </w:rPr>
      </w:pPr>
      <w:r w:rsidRPr="00FB340D">
        <w:rPr>
          <w:rFonts w:cs="David" w:hint="cs"/>
          <w:u w:val="single"/>
          <w:rtl/>
        </w:rPr>
        <w:t>מאת</w:t>
      </w:r>
      <w:r w:rsidRPr="00FB340D">
        <w:rPr>
          <w:rFonts w:cs="David" w:hint="cs"/>
          <w:rtl/>
        </w:rPr>
        <w:t>: הייעוץ המשפטי לוועדה</w:t>
      </w:r>
    </w:p>
    <w:p w:rsidR="007C2E85" w:rsidRPr="007E7DE5" w:rsidRDefault="007C2E85" w:rsidP="007C2E85">
      <w:pPr>
        <w:jc w:val="center"/>
        <w:rPr>
          <w:rFonts w:cs="David"/>
          <w:b/>
          <w:bCs/>
          <w:sz w:val="16"/>
          <w:szCs w:val="16"/>
          <w:u w:val="single"/>
          <w:rtl/>
        </w:rPr>
      </w:pPr>
    </w:p>
    <w:p w:rsidR="00755AD4" w:rsidRPr="00FB340D" w:rsidRDefault="00755AD4" w:rsidP="007C2E85">
      <w:pPr>
        <w:jc w:val="center"/>
        <w:rPr>
          <w:rFonts w:cs="David"/>
          <w:b/>
          <w:bCs/>
          <w:sz w:val="24"/>
          <w:szCs w:val="24"/>
          <w:u w:val="single"/>
          <w:rtl/>
        </w:rPr>
      </w:pPr>
      <w:r w:rsidRPr="00FB340D">
        <w:rPr>
          <w:rFonts w:cs="David" w:hint="cs"/>
          <w:b/>
          <w:bCs/>
          <w:sz w:val="24"/>
          <w:szCs w:val="24"/>
          <w:u w:val="single"/>
          <w:rtl/>
        </w:rPr>
        <w:t>תקנות הפטנטים (נוהלי הרשות, סדרי דין, מסמכים ואגרות) (תיקון)</w:t>
      </w:r>
      <w:r w:rsidR="00DC7B00">
        <w:rPr>
          <w:rFonts w:cs="David" w:hint="cs"/>
          <w:b/>
          <w:bCs/>
          <w:sz w:val="24"/>
          <w:szCs w:val="24"/>
          <w:u w:val="single"/>
          <w:rtl/>
        </w:rPr>
        <w:t xml:space="preserve"> ו-(תיקון מס' 2)</w:t>
      </w:r>
      <w:r w:rsidRPr="00FB340D">
        <w:rPr>
          <w:rFonts w:cs="David" w:hint="cs"/>
          <w:b/>
          <w:bCs/>
          <w:sz w:val="24"/>
          <w:szCs w:val="24"/>
          <w:u w:val="single"/>
          <w:rtl/>
        </w:rPr>
        <w:t xml:space="preserve">, </w:t>
      </w:r>
      <w:proofErr w:type="spellStart"/>
      <w:r w:rsidRPr="00FB340D">
        <w:rPr>
          <w:rFonts w:cs="David" w:hint="cs"/>
          <w:b/>
          <w:bCs/>
          <w:sz w:val="24"/>
          <w:szCs w:val="24"/>
          <w:u w:val="single"/>
          <w:rtl/>
        </w:rPr>
        <w:t>התשע"ה</w:t>
      </w:r>
      <w:proofErr w:type="spellEnd"/>
      <w:r w:rsidR="007C2E85">
        <w:rPr>
          <w:rFonts w:cs="David" w:hint="eastAsia"/>
          <w:b/>
          <w:bCs/>
          <w:sz w:val="24"/>
          <w:szCs w:val="24"/>
          <w:u w:val="single"/>
          <w:rtl/>
        </w:rPr>
        <w:t>–</w:t>
      </w:r>
      <w:r w:rsidRPr="00FB340D">
        <w:rPr>
          <w:rFonts w:cs="David" w:hint="cs"/>
          <w:b/>
          <w:bCs/>
          <w:sz w:val="24"/>
          <w:szCs w:val="24"/>
          <w:u w:val="single"/>
          <w:rtl/>
        </w:rPr>
        <w:t>2015</w:t>
      </w:r>
    </w:p>
    <w:p w:rsidR="00755AD4" w:rsidRDefault="00755AD4" w:rsidP="0065693E">
      <w:pPr>
        <w:jc w:val="both"/>
        <w:rPr>
          <w:rFonts w:cs="David"/>
          <w:sz w:val="24"/>
          <w:szCs w:val="24"/>
          <w:rtl/>
        </w:rPr>
      </w:pPr>
      <w:r>
        <w:rPr>
          <w:rFonts w:cs="David" w:hint="cs"/>
          <w:sz w:val="24"/>
          <w:szCs w:val="24"/>
          <w:rtl/>
        </w:rPr>
        <w:t xml:space="preserve">חוק הפטנטים, </w:t>
      </w:r>
      <w:proofErr w:type="spellStart"/>
      <w:r>
        <w:rPr>
          <w:rFonts w:cs="David" w:hint="cs"/>
          <w:sz w:val="24"/>
          <w:szCs w:val="24"/>
          <w:rtl/>
        </w:rPr>
        <w:t>התשכ"ז</w:t>
      </w:r>
      <w:proofErr w:type="spellEnd"/>
      <w:r w:rsidR="007F020E">
        <w:rPr>
          <w:rFonts w:cs="David" w:hint="eastAsia"/>
          <w:sz w:val="24"/>
          <w:szCs w:val="24"/>
          <w:rtl/>
        </w:rPr>
        <w:t>–</w:t>
      </w:r>
      <w:r>
        <w:rPr>
          <w:rFonts w:cs="David" w:hint="cs"/>
          <w:sz w:val="24"/>
          <w:szCs w:val="24"/>
          <w:rtl/>
        </w:rPr>
        <w:t xml:space="preserve">1967 </w:t>
      </w:r>
      <w:r w:rsidR="00C352FD">
        <w:rPr>
          <w:rFonts w:cs="David" w:hint="cs"/>
          <w:sz w:val="24"/>
          <w:szCs w:val="24"/>
          <w:rtl/>
        </w:rPr>
        <w:t xml:space="preserve">(להלן </w:t>
      </w:r>
      <w:r w:rsidR="00C352FD">
        <w:rPr>
          <w:rFonts w:cs="David"/>
          <w:sz w:val="24"/>
          <w:szCs w:val="24"/>
          <w:rtl/>
        </w:rPr>
        <w:t>–</w:t>
      </w:r>
      <w:r w:rsidR="00C352FD">
        <w:rPr>
          <w:rFonts w:cs="David" w:hint="cs"/>
          <w:sz w:val="24"/>
          <w:szCs w:val="24"/>
          <w:rtl/>
        </w:rPr>
        <w:t xml:space="preserve"> החוק) </w:t>
      </w:r>
      <w:r w:rsidR="001045B1">
        <w:rPr>
          <w:rFonts w:cs="David" w:hint="cs"/>
          <w:sz w:val="24"/>
          <w:szCs w:val="24"/>
          <w:rtl/>
        </w:rPr>
        <w:t xml:space="preserve">הוא דבר החקיקה </w:t>
      </w:r>
      <w:r w:rsidR="00C352FD">
        <w:rPr>
          <w:rFonts w:cs="David" w:hint="cs"/>
          <w:sz w:val="24"/>
          <w:szCs w:val="24"/>
          <w:rtl/>
        </w:rPr>
        <w:t>הראשי</w:t>
      </w:r>
      <w:r w:rsidR="001045B1">
        <w:rPr>
          <w:rFonts w:cs="David" w:hint="cs"/>
          <w:sz w:val="24"/>
          <w:szCs w:val="24"/>
          <w:rtl/>
        </w:rPr>
        <w:t xml:space="preserve"> ש</w:t>
      </w:r>
      <w:r w:rsidR="00C352FD">
        <w:rPr>
          <w:rFonts w:cs="David" w:hint="cs"/>
          <w:sz w:val="24"/>
          <w:szCs w:val="24"/>
          <w:rtl/>
        </w:rPr>
        <w:t xml:space="preserve">מסדיר את דיני הפטנטים בישראל. בין היתר, </w:t>
      </w:r>
      <w:r>
        <w:rPr>
          <w:rFonts w:cs="David" w:hint="cs"/>
          <w:sz w:val="24"/>
          <w:szCs w:val="24"/>
          <w:rtl/>
        </w:rPr>
        <w:t xml:space="preserve">מסדיר </w:t>
      </w:r>
      <w:r w:rsidR="00C352FD">
        <w:rPr>
          <w:rFonts w:cs="David" w:hint="cs"/>
          <w:sz w:val="24"/>
          <w:szCs w:val="24"/>
          <w:rtl/>
        </w:rPr>
        <w:t xml:space="preserve">החוק </w:t>
      </w:r>
      <w:r>
        <w:rPr>
          <w:rFonts w:cs="David" w:hint="cs"/>
          <w:sz w:val="24"/>
          <w:szCs w:val="24"/>
          <w:rtl/>
        </w:rPr>
        <w:t>את אופן הבחינה והרישום של פ</w:t>
      </w:r>
      <w:r w:rsidR="00757019">
        <w:rPr>
          <w:rFonts w:cs="David" w:hint="cs"/>
          <w:sz w:val="24"/>
          <w:szCs w:val="24"/>
          <w:rtl/>
        </w:rPr>
        <w:t>ט</w:t>
      </w:r>
      <w:r w:rsidR="00C352FD">
        <w:rPr>
          <w:rFonts w:cs="David" w:hint="cs"/>
          <w:sz w:val="24"/>
          <w:szCs w:val="24"/>
          <w:rtl/>
        </w:rPr>
        <w:t>נטים ו</w:t>
      </w:r>
      <w:r>
        <w:rPr>
          <w:rFonts w:cs="David" w:hint="cs"/>
          <w:sz w:val="24"/>
          <w:szCs w:val="24"/>
          <w:rtl/>
        </w:rPr>
        <w:t xml:space="preserve">את הזכויות </w:t>
      </w:r>
      <w:r w:rsidR="00757019">
        <w:rPr>
          <w:rFonts w:cs="David" w:hint="cs"/>
          <w:sz w:val="24"/>
          <w:szCs w:val="24"/>
          <w:rtl/>
        </w:rPr>
        <w:t>השונות שמעניק הפטנט</w:t>
      </w:r>
      <w:r w:rsidR="0065693E">
        <w:rPr>
          <w:rFonts w:cs="David" w:hint="cs"/>
          <w:sz w:val="24"/>
          <w:szCs w:val="24"/>
          <w:rtl/>
        </w:rPr>
        <w:t>,</w:t>
      </w:r>
      <w:r w:rsidR="009750BC">
        <w:rPr>
          <w:rFonts w:cs="David" w:hint="cs"/>
          <w:sz w:val="24"/>
          <w:szCs w:val="24"/>
          <w:rtl/>
        </w:rPr>
        <w:t xml:space="preserve"> ומכוחו </w:t>
      </w:r>
      <w:r>
        <w:rPr>
          <w:rFonts w:cs="David" w:hint="cs"/>
          <w:sz w:val="24"/>
          <w:szCs w:val="24"/>
          <w:rtl/>
        </w:rPr>
        <w:t xml:space="preserve">הותקנו תקנות הפטנטים (נוהלי הרשות, סדרי דין, מסמכים ואגרות), </w:t>
      </w:r>
      <w:proofErr w:type="spellStart"/>
      <w:r>
        <w:rPr>
          <w:rFonts w:cs="David" w:hint="cs"/>
          <w:sz w:val="24"/>
          <w:szCs w:val="24"/>
          <w:rtl/>
        </w:rPr>
        <w:t>התשכ"ח</w:t>
      </w:r>
      <w:proofErr w:type="spellEnd"/>
      <w:r w:rsidR="007F020E">
        <w:rPr>
          <w:rFonts w:cs="David" w:hint="eastAsia"/>
          <w:sz w:val="24"/>
          <w:szCs w:val="24"/>
          <w:rtl/>
        </w:rPr>
        <w:t>–</w:t>
      </w:r>
      <w:r>
        <w:rPr>
          <w:rFonts w:cs="David" w:hint="cs"/>
          <w:sz w:val="24"/>
          <w:szCs w:val="24"/>
          <w:rtl/>
        </w:rPr>
        <w:t>1968</w:t>
      </w:r>
      <w:r w:rsidR="00DC7B00">
        <w:rPr>
          <w:rFonts w:cs="David" w:hint="cs"/>
          <w:sz w:val="24"/>
          <w:szCs w:val="24"/>
          <w:rtl/>
        </w:rPr>
        <w:t xml:space="preserve"> (להלן </w:t>
      </w:r>
      <w:r w:rsidR="00DC7B00">
        <w:rPr>
          <w:rFonts w:cs="David"/>
          <w:sz w:val="24"/>
          <w:szCs w:val="24"/>
          <w:rtl/>
        </w:rPr>
        <w:t>–</w:t>
      </w:r>
      <w:r w:rsidR="00DC7B00">
        <w:rPr>
          <w:rFonts w:cs="David" w:hint="cs"/>
          <w:sz w:val="24"/>
          <w:szCs w:val="24"/>
          <w:rtl/>
        </w:rPr>
        <w:t xml:space="preserve"> התקנות)</w:t>
      </w:r>
      <w:r>
        <w:rPr>
          <w:rFonts w:cs="David" w:hint="cs"/>
          <w:sz w:val="24"/>
          <w:szCs w:val="24"/>
          <w:rtl/>
        </w:rPr>
        <w:t>.</w:t>
      </w:r>
      <w:r w:rsidR="00C352FD">
        <w:rPr>
          <w:rFonts w:cs="David" w:hint="cs"/>
          <w:sz w:val="24"/>
          <w:szCs w:val="24"/>
          <w:rtl/>
        </w:rPr>
        <w:t xml:space="preserve"> התקנות קובעות הסדרים לעניין אופן הגשת בקשות ומסמכים לרשם הפטנטים, דרכי הטיפול בבקשות, הוראות לעניין מועדים, פרסומים, סדרי הדין בבקשות ובדיונים בפני הרשם, ערעורים על החלטות הרשם, אגרות על בקשות ופעולות ועוד. </w:t>
      </w:r>
    </w:p>
    <w:p w:rsidR="00C352FD" w:rsidRDefault="00DC7B00" w:rsidP="00204530">
      <w:pPr>
        <w:jc w:val="both"/>
        <w:rPr>
          <w:rFonts w:cs="David"/>
          <w:sz w:val="24"/>
          <w:szCs w:val="24"/>
          <w:rtl/>
        </w:rPr>
      </w:pPr>
      <w:r>
        <w:rPr>
          <w:rFonts w:cs="David" w:hint="cs"/>
          <w:sz w:val="24"/>
          <w:szCs w:val="24"/>
          <w:rtl/>
        </w:rPr>
        <w:t xml:space="preserve">בפני הוועדה מונחים שני תיקונים לתקנות: הראשון, עוסק בקביעת אגרה להקדמת בחינה של בקשות פטנט; התיקון השני, עובר לכל אורך התקנות ועוסק בנושאים מגוונים, וביניהם </w:t>
      </w:r>
      <w:r>
        <w:rPr>
          <w:rFonts w:cs="David"/>
          <w:sz w:val="24"/>
          <w:szCs w:val="24"/>
          <w:rtl/>
        </w:rPr>
        <w:t>–</w:t>
      </w:r>
      <w:r>
        <w:rPr>
          <w:rFonts w:cs="David" w:hint="cs"/>
          <w:sz w:val="24"/>
          <w:szCs w:val="24"/>
          <w:rtl/>
        </w:rPr>
        <w:t xml:space="preserve"> הגשה אלקטרונית של מסמכים לרשות הפטנטים, </w:t>
      </w:r>
      <w:r w:rsidR="006D6548">
        <w:rPr>
          <w:rFonts w:cs="David" w:hint="cs"/>
          <w:sz w:val="24"/>
          <w:szCs w:val="24"/>
          <w:rtl/>
        </w:rPr>
        <w:t xml:space="preserve">הגשת מסמכים על גבי התקן </w:t>
      </w:r>
      <w:r w:rsidR="0065693E">
        <w:rPr>
          <w:rFonts w:cs="David" w:hint="cs"/>
          <w:sz w:val="24"/>
          <w:szCs w:val="24"/>
          <w:rtl/>
        </w:rPr>
        <w:t xml:space="preserve">המשמש לאחסון </w:t>
      </w:r>
      <w:r w:rsidR="00204530">
        <w:rPr>
          <w:rFonts w:cs="David" w:hint="cs"/>
          <w:sz w:val="24"/>
          <w:szCs w:val="24"/>
          <w:rtl/>
        </w:rPr>
        <w:t>חומר מחשב</w:t>
      </w:r>
      <w:r w:rsidR="0065693E">
        <w:rPr>
          <w:rFonts w:cs="David" w:hint="cs"/>
          <w:sz w:val="24"/>
          <w:szCs w:val="24"/>
          <w:rtl/>
        </w:rPr>
        <w:t xml:space="preserve">, כגון </w:t>
      </w:r>
      <w:r w:rsidR="0065693E">
        <w:rPr>
          <w:rFonts w:cs="David"/>
          <w:sz w:val="24"/>
          <w:szCs w:val="24"/>
        </w:rPr>
        <w:t>CD</w:t>
      </w:r>
      <w:r w:rsidR="0065693E">
        <w:rPr>
          <w:rFonts w:cs="David" w:hint="cs"/>
          <w:sz w:val="24"/>
          <w:szCs w:val="24"/>
          <w:rtl/>
        </w:rPr>
        <w:t xml:space="preserve"> או </w:t>
      </w:r>
      <w:r w:rsidR="0065693E">
        <w:rPr>
          <w:rFonts w:cs="David"/>
          <w:sz w:val="24"/>
          <w:szCs w:val="24"/>
        </w:rPr>
        <w:t>DVD</w:t>
      </w:r>
      <w:r w:rsidR="006D6548">
        <w:rPr>
          <w:rFonts w:cs="David" w:hint="cs"/>
          <w:sz w:val="24"/>
          <w:szCs w:val="24"/>
          <w:rtl/>
        </w:rPr>
        <w:t xml:space="preserve">, </w:t>
      </w:r>
      <w:r w:rsidR="005D5B18">
        <w:rPr>
          <w:rFonts w:cs="David" w:hint="cs"/>
          <w:sz w:val="24"/>
          <w:szCs w:val="24"/>
          <w:rtl/>
        </w:rPr>
        <w:t xml:space="preserve">מתן אפשרות לקבל הודעות ומסמכים מהרשות ומצדדים שלישיים בדואר אלקטרוני, עדכון אופן הגשת מסמכים בנייר, </w:t>
      </w:r>
      <w:r w:rsidR="006D6548">
        <w:rPr>
          <w:rFonts w:cs="David" w:hint="cs"/>
          <w:sz w:val="24"/>
          <w:szCs w:val="24"/>
          <w:rtl/>
        </w:rPr>
        <w:t>תיקונים ב</w:t>
      </w:r>
      <w:r>
        <w:rPr>
          <w:rFonts w:cs="David" w:hint="cs"/>
          <w:sz w:val="24"/>
          <w:szCs w:val="24"/>
          <w:rtl/>
        </w:rPr>
        <w:t>סדרי דין, מועד להגשת ערעור</w:t>
      </w:r>
      <w:r w:rsidR="005D5B18">
        <w:rPr>
          <w:rFonts w:cs="David" w:hint="cs"/>
          <w:sz w:val="24"/>
          <w:szCs w:val="24"/>
          <w:rtl/>
        </w:rPr>
        <w:t>, מתן הנחה באגרה למוסד להשכלה גבוהה</w:t>
      </w:r>
      <w:r>
        <w:rPr>
          <w:rFonts w:cs="David" w:hint="cs"/>
          <w:sz w:val="24"/>
          <w:szCs w:val="24"/>
          <w:rtl/>
        </w:rPr>
        <w:t xml:space="preserve"> ועוד. </w:t>
      </w:r>
      <w:r w:rsidR="00CE448E">
        <w:rPr>
          <w:rFonts w:cs="David" w:hint="cs"/>
          <w:sz w:val="24"/>
          <w:szCs w:val="24"/>
          <w:rtl/>
        </w:rPr>
        <w:t>להלן יוצגו עיקרי התיקונים</w:t>
      </w:r>
      <w:r w:rsidR="00522C87">
        <w:rPr>
          <w:rFonts w:cs="David" w:hint="cs"/>
          <w:sz w:val="24"/>
          <w:szCs w:val="24"/>
          <w:rtl/>
        </w:rPr>
        <w:t xml:space="preserve"> והנושאים המוצעים לדיון</w:t>
      </w:r>
      <w:r w:rsidR="00CE448E">
        <w:rPr>
          <w:rFonts w:cs="David" w:hint="cs"/>
          <w:sz w:val="24"/>
          <w:szCs w:val="24"/>
          <w:rtl/>
        </w:rPr>
        <w:t xml:space="preserve">. הצעות </w:t>
      </w:r>
      <w:r w:rsidR="00142372">
        <w:rPr>
          <w:rFonts w:cs="David" w:hint="cs"/>
          <w:sz w:val="24"/>
          <w:szCs w:val="24"/>
          <w:rtl/>
        </w:rPr>
        <w:t xml:space="preserve">מפורטות </w:t>
      </w:r>
      <w:r w:rsidR="00CE448E">
        <w:rPr>
          <w:rFonts w:cs="David" w:hint="cs"/>
          <w:sz w:val="24"/>
          <w:szCs w:val="24"/>
          <w:rtl/>
        </w:rPr>
        <w:t>לתיקונים</w:t>
      </w:r>
      <w:r w:rsidR="00142372">
        <w:rPr>
          <w:rFonts w:cs="David" w:hint="cs"/>
          <w:sz w:val="24"/>
          <w:szCs w:val="24"/>
          <w:rtl/>
        </w:rPr>
        <w:t xml:space="preserve"> </w:t>
      </w:r>
      <w:r w:rsidR="00522C87">
        <w:rPr>
          <w:rFonts w:cs="David" w:hint="cs"/>
          <w:sz w:val="24"/>
          <w:szCs w:val="24"/>
          <w:rtl/>
        </w:rPr>
        <w:t>ניתן למצוא</w:t>
      </w:r>
      <w:r w:rsidR="00142372">
        <w:rPr>
          <w:rFonts w:cs="David" w:hint="cs"/>
          <w:sz w:val="24"/>
          <w:szCs w:val="24"/>
          <w:rtl/>
        </w:rPr>
        <w:t xml:space="preserve"> </w:t>
      </w:r>
      <w:r w:rsidR="000A5641">
        <w:rPr>
          <w:rFonts w:cs="David" w:hint="cs"/>
          <w:sz w:val="24"/>
          <w:szCs w:val="24"/>
          <w:rtl/>
        </w:rPr>
        <w:t xml:space="preserve">על גבי נוסח התקנות </w:t>
      </w:r>
      <w:r w:rsidR="00CD097A">
        <w:rPr>
          <w:rFonts w:cs="David" w:hint="cs"/>
          <w:sz w:val="24"/>
          <w:szCs w:val="24"/>
          <w:rtl/>
        </w:rPr>
        <w:t xml:space="preserve">המתוקן </w:t>
      </w:r>
      <w:r w:rsidR="000A5641">
        <w:rPr>
          <w:rFonts w:cs="David" w:hint="cs"/>
          <w:sz w:val="24"/>
          <w:szCs w:val="24"/>
          <w:rtl/>
        </w:rPr>
        <w:t>שהופץ בנפרד.</w:t>
      </w:r>
    </w:p>
    <w:p w:rsidR="007C2E85" w:rsidRDefault="007C2E85" w:rsidP="00E925B0">
      <w:pPr>
        <w:jc w:val="center"/>
        <w:rPr>
          <w:rFonts w:cs="David"/>
          <w:b/>
          <w:bCs/>
          <w:sz w:val="24"/>
          <w:szCs w:val="24"/>
          <w:u w:val="single"/>
          <w:rtl/>
        </w:rPr>
      </w:pPr>
    </w:p>
    <w:p w:rsidR="00E925B0" w:rsidRPr="00DC7B00" w:rsidRDefault="00E925B0" w:rsidP="00E925B0">
      <w:pPr>
        <w:jc w:val="center"/>
        <w:rPr>
          <w:rFonts w:cs="David"/>
          <w:b/>
          <w:bCs/>
          <w:sz w:val="24"/>
          <w:szCs w:val="24"/>
          <w:u w:val="single"/>
          <w:rtl/>
        </w:rPr>
      </w:pPr>
      <w:r w:rsidRPr="00DC7B00">
        <w:rPr>
          <w:rFonts w:cs="David" w:hint="cs"/>
          <w:b/>
          <w:bCs/>
          <w:sz w:val="24"/>
          <w:szCs w:val="24"/>
          <w:u w:val="single"/>
          <w:rtl/>
        </w:rPr>
        <w:t xml:space="preserve">אגרת בחינה על אתר </w:t>
      </w:r>
      <w:r w:rsidRPr="00DC7B00">
        <w:rPr>
          <w:rFonts w:cs="David"/>
          <w:b/>
          <w:bCs/>
          <w:sz w:val="24"/>
          <w:szCs w:val="24"/>
          <w:u w:val="single"/>
          <w:rtl/>
        </w:rPr>
        <w:t>–</w:t>
      </w:r>
      <w:r w:rsidRPr="00DC7B00">
        <w:rPr>
          <w:rFonts w:cs="David" w:hint="cs"/>
          <w:b/>
          <w:bCs/>
          <w:sz w:val="24"/>
          <w:szCs w:val="24"/>
          <w:u w:val="single"/>
          <w:rtl/>
        </w:rPr>
        <w:t xml:space="preserve"> תקנות הפטנטים (נוהלי הרשות, סדרי דין, מסמכים ואגרות) (תיקון), </w:t>
      </w:r>
      <w:proofErr w:type="spellStart"/>
      <w:r w:rsidRPr="00DC7B00">
        <w:rPr>
          <w:rFonts w:cs="David" w:hint="cs"/>
          <w:b/>
          <w:bCs/>
          <w:sz w:val="24"/>
          <w:szCs w:val="24"/>
          <w:u w:val="single"/>
          <w:rtl/>
        </w:rPr>
        <w:t>התשע"ה</w:t>
      </w:r>
      <w:proofErr w:type="spellEnd"/>
      <w:r w:rsidRPr="00DC7B00">
        <w:rPr>
          <w:rFonts w:cs="David"/>
          <w:b/>
          <w:bCs/>
          <w:sz w:val="24"/>
          <w:szCs w:val="24"/>
          <w:u w:val="single"/>
          <w:rtl/>
        </w:rPr>
        <w:softHyphen/>
      </w:r>
      <w:r w:rsidRPr="00DC7B00">
        <w:rPr>
          <w:rFonts w:cs="David" w:hint="cs"/>
          <w:b/>
          <w:bCs/>
          <w:sz w:val="24"/>
          <w:szCs w:val="24"/>
          <w:u w:val="single"/>
          <w:rtl/>
        </w:rPr>
        <w:t>–2015</w:t>
      </w:r>
    </w:p>
    <w:p w:rsidR="006E7004" w:rsidRDefault="006E7004" w:rsidP="007F020E">
      <w:pPr>
        <w:jc w:val="both"/>
        <w:rPr>
          <w:rFonts w:cs="David"/>
          <w:sz w:val="24"/>
          <w:szCs w:val="24"/>
          <w:rtl/>
        </w:rPr>
      </w:pPr>
      <w:r>
        <w:rPr>
          <w:rFonts w:cs="David" w:hint="cs"/>
          <w:sz w:val="24"/>
          <w:szCs w:val="24"/>
          <w:rtl/>
        </w:rPr>
        <w:t>בתיקון זה מוצע לקבוע אגרה בעד הקדמת בחינה של בקשת פטנט, בהמשך לתיקון מס' 10 לחוק הפטנטים שנחקק עוד בשנת 2012.</w:t>
      </w:r>
      <w:r>
        <w:rPr>
          <w:rStyle w:val="a5"/>
          <w:rFonts w:cs="David"/>
          <w:sz w:val="24"/>
          <w:szCs w:val="24"/>
          <w:rtl/>
        </w:rPr>
        <w:footnoteReference w:id="1"/>
      </w:r>
    </w:p>
    <w:p w:rsidR="005F13A5" w:rsidRPr="005F13A5" w:rsidRDefault="005F13A5" w:rsidP="005F13A5">
      <w:pPr>
        <w:jc w:val="both"/>
        <w:rPr>
          <w:rFonts w:cs="David"/>
          <w:sz w:val="24"/>
          <w:szCs w:val="24"/>
          <w:u w:val="single"/>
          <w:rtl/>
        </w:rPr>
      </w:pPr>
      <w:r>
        <w:rPr>
          <w:rFonts w:cs="David" w:hint="cs"/>
          <w:sz w:val="24"/>
          <w:szCs w:val="24"/>
          <w:u w:val="single"/>
          <w:rtl/>
        </w:rPr>
        <w:t xml:space="preserve">רקע </w:t>
      </w:r>
      <w:r w:rsidRPr="005F13A5">
        <w:rPr>
          <w:rFonts w:cs="David" w:hint="cs"/>
          <w:sz w:val="24"/>
          <w:szCs w:val="24"/>
          <w:u w:val="single"/>
          <w:rtl/>
        </w:rPr>
        <w:t>כללי</w:t>
      </w:r>
      <w:r>
        <w:rPr>
          <w:rFonts w:cs="David" w:hint="cs"/>
          <w:sz w:val="24"/>
          <w:szCs w:val="24"/>
          <w:u w:val="single"/>
          <w:rtl/>
        </w:rPr>
        <w:t xml:space="preserve"> ותיקון מס' 10 לחוק הפטנטים</w:t>
      </w:r>
    </w:p>
    <w:p w:rsidR="00127B05" w:rsidRDefault="00B12E4D" w:rsidP="000A6916">
      <w:pPr>
        <w:jc w:val="both"/>
        <w:rPr>
          <w:rFonts w:cs="David"/>
          <w:sz w:val="24"/>
          <w:szCs w:val="24"/>
          <w:rtl/>
        </w:rPr>
      </w:pPr>
      <w:r>
        <w:rPr>
          <w:rFonts w:cs="David" w:hint="cs"/>
          <w:sz w:val="24"/>
          <w:szCs w:val="24"/>
          <w:rtl/>
        </w:rPr>
        <w:t xml:space="preserve">רשות הפטנטים הוסמכה לפי החוק לבחון בקשות למתן פטנט על אמצאה. </w:t>
      </w:r>
      <w:r w:rsidR="00204530">
        <w:rPr>
          <w:rFonts w:cs="David" w:hint="cs"/>
          <w:sz w:val="24"/>
          <w:szCs w:val="24"/>
          <w:rtl/>
        </w:rPr>
        <w:t xml:space="preserve">מתן </w:t>
      </w:r>
      <w:r w:rsidR="000A6916">
        <w:rPr>
          <w:rFonts w:cs="David" w:hint="cs"/>
          <w:sz w:val="24"/>
          <w:szCs w:val="24"/>
          <w:rtl/>
        </w:rPr>
        <w:t>ה</w:t>
      </w:r>
      <w:r w:rsidR="00204530">
        <w:rPr>
          <w:rFonts w:cs="David" w:hint="cs"/>
          <w:sz w:val="24"/>
          <w:szCs w:val="24"/>
          <w:rtl/>
        </w:rPr>
        <w:t xml:space="preserve">פטנט </w:t>
      </w:r>
      <w:r w:rsidR="000A6916">
        <w:rPr>
          <w:rFonts w:cs="David" w:hint="cs"/>
          <w:sz w:val="24"/>
          <w:szCs w:val="24"/>
          <w:rtl/>
        </w:rPr>
        <w:t>מקנה</w:t>
      </w:r>
      <w:r w:rsidR="004701C4">
        <w:rPr>
          <w:rFonts w:cs="David" w:hint="cs"/>
          <w:sz w:val="24"/>
          <w:szCs w:val="24"/>
          <w:rtl/>
        </w:rPr>
        <w:t xml:space="preserve"> לבעל</w:t>
      </w:r>
      <w:r w:rsidR="000A6916">
        <w:rPr>
          <w:rFonts w:cs="David" w:hint="cs"/>
          <w:sz w:val="24"/>
          <w:szCs w:val="24"/>
          <w:rtl/>
        </w:rPr>
        <w:t>יו</w:t>
      </w:r>
      <w:r w:rsidR="004701C4">
        <w:rPr>
          <w:rFonts w:cs="David" w:hint="cs"/>
          <w:sz w:val="24"/>
          <w:szCs w:val="24"/>
          <w:rtl/>
        </w:rPr>
        <w:t xml:space="preserve"> </w:t>
      </w:r>
      <w:r w:rsidR="00204530">
        <w:rPr>
          <w:rFonts w:cs="David" w:hint="cs"/>
          <w:sz w:val="24"/>
          <w:szCs w:val="24"/>
          <w:rtl/>
        </w:rPr>
        <w:t>זכות בלעדית (</w:t>
      </w:r>
      <w:r w:rsidR="004701C4">
        <w:rPr>
          <w:rFonts w:cs="David" w:hint="cs"/>
          <w:sz w:val="24"/>
          <w:szCs w:val="24"/>
          <w:rtl/>
        </w:rPr>
        <w:t xml:space="preserve">מעין </w:t>
      </w:r>
      <w:r w:rsidR="00127B05">
        <w:rPr>
          <w:rFonts w:cs="David" w:hint="cs"/>
          <w:sz w:val="24"/>
          <w:szCs w:val="24"/>
          <w:rtl/>
        </w:rPr>
        <w:t>"</w:t>
      </w:r>
      <w:r w:rsidR="004701C4">
        <w:rPr>
          <w:rFonts w:cs="David" w:hint="cs"/>
          <w:sz w:val="24"/>
          <w:szCs w:val="24"/>
          <w:rtl/>
        </w:rPr>
        <w:t>מונופול</w:t>
      </w:r>
      <w:r w:rsidR="00127B05">
        <w:rPr>
          <w:rFonts w:cs="David" w:hint="cs"/>
          <w:sz w:val="24"/>
          <w:szCs w:val="24"/>
          <w:rtl/>
        </w:rPr>
        <w:t>"</w:t>
      </w:r>
      <w:r w:rsidR="00204530">
        <w:rPr>
          <w:rFonts w:cs="David" w:hint="cs"/>
          <w:sz w:val="24"/>
          <w:szCs w:val="24"/>
          <w:rtl/>
        </w:rPr>
        <w:t>)</w:t>
      </w:r>
      <w:r w:rsidR="004701C4">
        <w:rPr>
          <w:rFonts w:cs="David" w:hint="cs"/>
          <w:sz w:val="24"/>
          <w:szCs w:val="24"/>
          <w:rtl/>
        </w:rPr>
        <w:t xml:space="preserve"> </w:t>
      </w:r>
      <w:r w:rsidR="004701C4">
        <w:rPr>
          <w:rFonts w:cs="David"/>
          <w:sz w:val="24"/>
          <w:szCs w:val="24"/>
          <w:rtl/>
        </w:rPr>
        <w:t>–</w:t>
      </w:r>
      <w:r w:rsidR="004701C4">
        <w:rPr>
          <w:rFonts w:cs="David" w:hint="cs"/>
          <w:sz w:val="24"/>
          <w:szCs w:val="24"/>
          <w:rtl/>
        </w:rPr>
        <w:t xml:space="preserve"> זכות למנוע ניצול של האמצאה ללא רשותו, למשך 20 שנה</w:t>
      </w:r>
      <w:r w:rsidR="0065693E">
        <w:rPr>
          <w:rFonts w:cs="David" w:hint="cs"/>
          <w:sz w:val="24"/>
          <w:szCs w:val="24"/>
          <w:rtl/>
        </w:rPr>
        <w:t>, בכפוף לתשלום אגרות חידוש</w:t>
      </w:r>
      <w:r w:rsidR="004701C4">
        <w:rPr>
          <w:rFonts w:cs="David" w:hint="cs"/>
          <w:sz w:val="24"/>
          <w:szCs w:val="24"/>
          <w:rtl/>
        </w:rPr>
        <w:t>.</w:t>
      </w:r>
      <w:r w:rsidR="00287695">
        <w:rPr>
          <w:rStyle w:val="a5"/>
          <w:rFonts w:cs="David"/>
          <w:sz w:val="24"/>
          <w:szCs w:val="24"/>
          <w:rtl/>
        </w:rPr>
        <w:footnoteReference w:id="2"/>
      </w:r>
      <w:r w:rsidR="004701C4">
        <w:rPr>
          <w:rFonts w:cs="David" w:hint="cs"/>
          <w:sz w:val="24"/>
          <w:szCs w:val="24"/>
          <w:rtl/>
        </w:rPr>
        <w:t xml:space="preserve"> </w:t>
      </w:r>
    </w:p>
    <w:p w:rsidR="00127B05" w:rsidRDefault="00E925B0" w:rsidP="00127B05">
      <w:pPr>
        <w:jc w:val="both"/>
        <w:rPr>
          <w:rFonts w:cs="David"/>
          <w:sz w:val="24"/>
          <w:szCs w:val="24"/>
          <w:rtl/>
        </w:rPr>
      </w:pPr>
      <w:r>
        <w:rPr>
          <w:rFonts w:cs="David" w:hint="cs"/>
          <w:sz w:val="24"/>
          <w:szCs w:val="24"/>
          <w:rtl/>
        </w:rPr>
        <w:t xml:space="preserve">בקשות פטנט נבחנות בדרך כלל לפי סדר הגשתן. </w:t>
      </w:r>
    </w:p>
    <w:p w:rsidR="00127B05" w:rsidRDefault="00127B05" w:rsidP="000A0868">
      <w:pPr>
        <w:jc w:val="both"/>
        <w:rPr>
          <w:rFonts w:cs="David"/>
          <w:sz w:val="24"/>
          <w:szCs w:val="24"/>
          <w:rtl/>
        </w:rPr>
      </w:pPr>
      <w:r>
        <w:rPr>
          <w:rFonts w:cs="David" w:hint="cs"/>
          <w:sz w:val="24"/>
          <w:szCs w:val="24"/>
          <w:rtl/>
        </w:rPr>
        <w:t>במהלך תקופת בחינת הבקשה, לא נית</w:t>
      </w:r>
      <w:r w:rsidR="000A0868">
        <w:rPr>
          <w:rFonts w:cs="David" w:hint="cs"/>
          <w:sz w:val="24"/>
          <w:szCs w:val="24"/>
          <w:rtl/>
        </w:rPr>
        <w:t>נה</w:t>
      </w:r>
      <w:r>
        <w:rPr>
          <w:rFonts w:cs="David" w:hint="cs"/>
          <w:sz w:val="24"/>
          <w:szCs w:val="24"/>
          <w:rtl/>
        </w:rPr>
        <w:t xml:space="preserve"> עדיין אות</w:t>
      </w:r>
      <w:r w:rsidR="000A0868">
        <w:rPr>
          <w:rFonts w:cs="David" w:hint="cs"/>
          <w:sz w:val="24"/>
          <w:szCs w:val="24"/>
          <w:rtl/>
        </w:rPr>
        <w:t>ה</w:t>
      </w:r>
      <w:r>
        <w:rPr>
          <w:rFonts w:cs="David" w:hint="cs"/>
          <w:sz w:val="24"/>
          <w:szCs w:val="24"/>
          <w:rtl/>
        </w:rPr>
        <w:t xml:space="preserve"> </w:t>
      </w:r>
      <w:r w:rsidR="000A0868">
        <w:rPr>
          <w:rFonts w:cs="David" w:hint="cs"/>
          <w:sz w:val="24"/>
          <w:szCs w:val="24"/>
          <w:rtl/>
        </w:rPr>
        <w:t>זכות בלעדית</w:t>
      </w:r>
      <w:r>
        <w:rPr>
          <w:rFonts w:cs="David" w:hint="cs"/>
          <w:sz w:val="24"/>
          <w:szCs w:val="24"/>
          <w:rtl/>
        </w:rPr>
        <w:t xml:space="preserve"> על השימוש באמצאה, ועל כן אין אפשרות לתת צו מניעה שימנע ניצול שלה על ידי צדדים שלישיים. ואולם, אם בסופו של דבר </w:t>
      </w:r>
      <w:r w:rsidR="0065693E">
        <w:rPr>
          <w:rFonts w:cs="David" w:hint="cs"/>
          <w:sz w:val="24"/>
          <w:szCs w:val="24"/>
          <w:rtl/>
        </w:rPr>
        <w:t xml:space="preserve">ניתן פטנט על </w:t>
      </w:r>
      <w:r>
        <w:rPr>
          <w:rFonts w:cs="David" w:hint="cs"/>
          <w:sz w:val="24"/>
          <w:szCs w:val="24"/>
          <w:rtl/>
        </w:rPr>
        <w:t>האמצאה, ניתן לדרוש פיצויים בגובה של תמלוגים סבירים עבור תקופת הביניים של בחינת בקשת הפטנט</w:t>
      </w:r>
      <w:r w:rsidR="000A6916">
        <w:rPr>
          <w:rFonts w:cs="David" w:hint="cs"/>
          <w:sz w:val="24"/>
          <w:szCs w:val="24"/>
          <w:rtl/>
        </w:rPr>
        <w:t xml:space="preserve"> (</w:t>
      </w:r>
      <w:r w:rsidR="0065693E">
        <w:rPr>
          <w:rFonts w:cs="David" w:hint="cs"/>
          <w:sz w:val="24"/>
          <w:szCs w:val="24"/>
          <w:rtl/>
        </w:rPr>
        <w:t>לאחר פרסומה</w:t>
      </w:r>
      <w:r w:rsidR="000A6916">
        <w:rPr>
          <w:rFonts w:cs="David" w:hint="cs"/>
          <w:sz w:val="24"/>
          <w:szCs w:val="24"/>
          <w:rtl/>
        </w:rPr>
        <w:t>)</w:t>
      </w:r>
      <w:r>
        <w:rPr>
          <w:rFonts w:cs="David" w:hint="cs"/>
          <w:sz w:val="24"/>
          <w:szCs w:val="24"/>
          <w:rtl/>
        </w:rPr>
        <w:t>.</w:t>
      </w:r>
      <w:r w:rsidR="00287695">
        <w:rPr>
          <w:rStyle w:val="a5"/>
          <w:rFonts w:cs="David"/>
          <w:sz w:val="24"/>
          <w:szCs w:val="24"/>
          <w:rtl/>
        </w:rPr>
        <w:footnoteReference w:id="3"/>
      </w:r>
    </w:p>
    <w:p w:rsidR="00127B05" w:rsidRDefault="000B0506" w:rsidP="000A6916">
      <w:pPr>
        <w:jc w:val="both"/>
        <w:rPr>
          <w:rFonts w:cs="David"/>
          <w:sz w:val="24"/>
          <w:szCs w:val="24"/>
          <w:rtl/>
        </w:rPr>
      </w:pPr>
      <w:r>
        <w:rPr>
          <w:rFonts w:cs="David" w:hint="cs"/>
          <w:sz w:val="24"/>
          <w:szCs w:val="24"/>
          <w:rtl/>
        </w:rPr>
        <w:t xml:space="preserve">מרשות הפטנטים נמסר, כי </w:t>
      </w:r>
      <w:r w:rsidR="00B12E4D">
        <w:rPr>
          <w:rFonts w:cs="David" w:hint="cs"/>
          <w:sz w:val="24"/>
          <w:szCs w:val="24"/>
          <w:rtl/>
        </w:rPr>
        <w:t xml:space="preserve">לפי נתוני </w:t>
      </w:r>
      <w:r w:rsidR="00127B05">
        <w:rPr>
          <w:rFonts w:cs="David" w:hint="cs"/>
          <w:sz w:val="24"/>
          <w:szCs w:val="24"/>
          <w:rtl/>
        </w:rPr>
        <w:t xml:space="preserve">שנת </w:t>
      </w:r>
      <w:r w:rsidR="00683711">
        <w:rPr>
          <w:rFonts w:cs="David" w:hint="cs"/>
          <w:sz w:val="24"/>
          <w:szCs w:val="24"/>
          <w:rtl/>
        </w:rPr>
        <w:t>2014</w:t>
      </w:r>
      <w:r w:rsidR="00B12E4D">
        <w:rPr>
          <w:rFonts w:cs="David" w:hint="cs"/>
          <w:sz w:val="24"/>
          <w:szCs w:val="24"/>
          <w:rtl/>
        </w:rPr>
        <w:t xml:space="preserve">, </w:t>
      </w:r>
      <w:r w:rsidR="00B12E4D" w:rsidRPr="009750BC">
        <w:rPr>
          <w:rFonts w:cs="David" w:hint="cs"/>
          <w:b/>
          <w:bCs/>
          <w:sz w:val="24"/>
          <w:szCs w:val="24"/>
          <w:rtl/>
        </w:rPr>
        <w:t xml:space="preserve">בחינת בקשת פטנט </w:t>
      </w:r>
      <w:r w:rsidR="00683711">
        <w:rPr>
          <w:rFonts w:cs="David" w:hint="cs"/>
          <w:b/>
          <w:bCs/>
          <w:sz w:val="24"/>
          <w:szCs w:val="24"/>
          <w:rtl/>
        </w:rPr>
        <w:t>אורכת</w:t>
      </w:r>
      <w:r w:rsidR="00B12E4D" w:rsidRPr="009750BC">
        <w:rPr>
          <w:rFonts w:cs="David" w:hint="cs"/>
          <w:b/>
          <w:bCs/>
          <w:sz w:val="24"/>
          <w:szCs w:val="24"/>
          <w:rtl/>
        </w:rPr>
        <w:t xml:space="preserve"> </w:t>
      </w:r>
      <w:r w:rsidR="00B81ED7">
        <w:rPr>
          <w:rFonts w:cs="David" w:hint="cs"/>
          <w:b/>
          <w:bCs/>
          <w:sz w:val="24"/>
          <w:szCs w:val="24"/>
          <w:rtl/>
        </w:rPr>
        <w:t>בממוצע 56 חודשים</w:t>
      </w:r>
      <w:r w:rsidR="00127B05" w:rsidRPr="00127B05">
        <w:rPr>
          <w:rFonts w:cs="David" w:hint="cs"/>
          <w:sz w:val="24"/>
          <w:szCs w:val="24"/>
          <w:rtl/>
        </w:rPr>
        <w:t xml:space="preserve"> (</w:t>
      </w:r>
      <w:r w:rsidR="00B81ED7">
        <w:rPr>
          <w:rFonts w:cs="David" w:hint="cs"/>
          <w:sz w:val="24"/>
          <w:szCs w:val="24"/>
          <w:rtl/>
        </w:rPr>
        <w:t>29.4</w:t>
      </w:r>
      <w:r w:rsidR="00127B05">
        <w:rPr>
          <w:rFonts w:cs="David" w:hint="cs"/>
          <w:sz w:val="24"/>
          <w:szCs w:val="24"/>
          <w:rtl/>
        </w:rPr>
        <w:t xml:space="preserve"> חודשים </w:t>
      </w:r>
      <w:r w:rsidR="00B81ED7">
        <w:rPr>
          <w:rFonts w:cs="David" w:hint="cs"/>
          <w:sz w:val="24"/>
          <w:szCs w:val="24"/>
          <w:rtl/>
        </w:rPr>
        <w:t xml:space="preserve">בממוצע </w:t>
      </w:r>
      <w:r w:rsidR="00127B05">
        <w:rPr>
          <w:rFonts w:cs="David" w:hint="cs"/>
          <w:sz w:val="24"/>
          <w:szCs w:val="24"/>
          <w:rtl/>
        </w:rPr>
        <w:t>מהגשת הבקשה ועד תחילת הבחינה; ו</w:t>
      </w:r>
      <w:r w:rsidR="00B81ED7">
        <w:rPr>
          <w:rFonts w:cs="David" w:hint="cs"/>
          <w:sz w:val="24"/>
          <w:szCs w:val="24"/>
          <w:rtl/>
        </w:rPr>
        <w:t>-26.6</w:t>
      </w:r>
      <w:r w:rsidR="00BA7BBF">
        <w:rPr>
          <w:rFonts w:cs="David" w:hint="cs"/>
          <w:sz w:val="24"/>
          <w:szCs w:val="24"/>
          <w:rtl/>
        </w:rPr>
        <w:t xml:space="preserve"> </w:t>
      </w:r>
      <w:r w:rsidR="00127B05">
        <w:rPr>
          <w:rFonts w:cs="David" w:hint="cs"/>
          <w:sz w:val="24"/>
          <w:szCs w:val="24"/>
          <w:rtl/>
        </w:rPr>
        <w:t xml:space="preserve">חודשים מהתחלת הבחינה ועד להחלטה האם </w:t>
      </w:r>
      <w:r w:rsidR="00484104">
        <w:rPr>
          <w:rFonts w:cs="David" w:hint="cs"/>
          <w:sz w:val="24"/>
          <w:szCs w:val="24"/>
          <w:rtl/>
        </w:rPr>
        <w:t xml:space="preserve">לקבל את </w:t>
      </w:r>
      <w:r w:rsidR="004C7106">
        <w:rPr>
          <w:rFonts w:cs="David" w:hint="cs"/>
          <w:sz w:val="24"/>
          <w:szCs w:val="24"/>
          <w:rtl/>
        </w:rPr>
        <w:t>הבקשה ל</w:t>
      </w:r>
      <w:r w:rsidR="00127B05">
        <w:rPr>
          <w:rFonts w:cs="David" w:hint="cs"/>
          <w:sz w:val="24"/>
          <w:szCs w:val="24"/>
          <w:rtl/>
        </w:rPr>
        <w:t>פטנט או לא)</w:t>
      </w:r>
      <w:r w:rsidR="00B12E4D">
        <w:rPr>
          <w:rFonts w:cs="David" w:hint="cs"/>
          <w:sz w:val="24"/>
          <w:szCs w:val="24"/>
          <w:rtl/>
        </w:rPr>
        <w:t>.</w:t>
      </w:r>
    </w:p>
    <w:p w:rsidR="00B12E4D" w:rsidRDefault="00E925B0" w:rsidP="00215A2F">
      <w:pPr>
        <w:jc w:val="both"/>
        <w:rPr>
          <w:rFonts w:cs="David"/>
          <w:sz w:val="24"/>
          <w:szCs w:val="24"/>
          <w:rtl/>
        </w:rPr>
      </w:pPr>
      <w:r>
        <w:rPr>
          <w:rFonts w:cs="David" w:hint="cs"/>
          <w:sz w:val="24"/>
          <w:szCs w:val="24"/>
          <w:rtl/>
        </w:rPr>
        <w:t xml:space="preserve">לצד זאת, </w:t>
      </w:r>
      <w:r w:rsidR="00287695" w:rsidRPr="009750BC">
        <w:rPr>
          <w:rFonts w:cs="David" w:hint="cs"/>
          <w:b/>
          <w:bCs/>
          <w:sz w:val="24"/>
          <w:szCs w:val="24"/>
          <w:rtl/>
        </w:rPr>
        <w:t>ניתן</w:t>
      </w:r>
      <w:r w:rsidR="00B12E4D" w:rsidRPr="009750BC">
        <w:rPr>
          <w:rFonts w:cs="David" w:hint="cs"/>
          <w:b/>
          <w:bCs/>
          <w:sz w:val="24"/>
          <w:szCs w:val="24"/>
          <w:rtl/>
        </w:rPr>
        <w:t xml:space="preserve"> לבקש להקדים את הבחינה של בקשת הפטנט</w:t>
      </w:r>
      <w:r w:rsidRPr="009750BC">
        <w:rPr>
          <w:rFonts w:cs="David" w:hint="cs"/>
          <w:b/>
          <w:bCs/>
          <w:sz w:val="24"/>
          <w:szCs w:val="24"/>
          <w:rtl/>
        </w:rPr>
        <w:t xml:space="preserve"> </w:t>
      </w:r>
      <w:r w:rsidRPr="009750BC">
        <w:rPr>
          <w:rFonts w:cs="David"/>
          <w:b/>
          <w:bCs/>
          <w:sz w:val="24"/>
          <w:szCs w:val="24"/>
          <w:rtl/>
        </w:rPr>
        <w:t>–</w:t>
      </w:r>
      <w:r w:rsidRPr="009750BC">
        <w:rPr>
          <w:rFonts w:cs="David" w:hint="cs"/>
          <w:b/>
          <w:bCs/>
          <w:sz w:val="24"/>
          <w:szCs w:val="24"/>
          <w:rtl/>
        </w:rPr>
        <w:t xml:space="preserve"> כך שהבקשה תיבחן "על אתר"</w:t>
      </w:r>
      <w:r>
        <w:rPr>
          <w:rFonts w:cs="David" w:hint="cs"/>
          <w:sz w:val="24"/>
          <w:szCs w:val="24"/>
          <w:rtl/>
        </w:rPr>
        <w:t xml:space="preserve">. </w:t>
      </w:r>
      <w:r w:rsidR="00287695">
        <w:rPr>
          <w:rFonts w:cs="David" w:hint="cs"/>
          <w:sz w:val="24"/>
          <w:szCs w:val="24"/>
          <w:rtl/>
        </w:rPr>
        <w:t xml:space="preserve">הקדמת הבחינה </w:t>
      </w:r>
      <w:r w:rsidR="00484104">
        <w:rPr>
          <w:rFonts w:cs="David" w:hint="cs"/>
          <w:sz w:val="24"/>
          <w:szCs w:val="24"/>
          <w:rtl/>
        </w:rPr>
        <w:t>מקצרת</w:t>
      </w:r>
      <w:r w:rsidR="00287695">
        <w:rPr>
          <w:rFonts w:cs="David" w:hint="cs"/>
          <w:sz w:val="24"/>
          <w:szCs w:val="24"/>
          <w:rtl/>
        </w:rPr>
        <w:t xml:space="preserve"> את התקופה הראשונה של ההמתנה לתחילת </w:t>
      </w:r>
      <w:r w:rsidR="00287695" w:rsidRPr="002C0510">
        <w:rPr>
          <w:rFonts w:cs="David" w:hint="cs"/>
          <w:sz w:val="24"/>
          <w:szCs w:val="24"/>
          <w:rtl/>
        </w:rPr>
        <w:t>הבחינה. ההסד</w:t>
      </w:r>
      <w:r w:rsidR="00287695">
        <w:rPr>
          <w:rFonts w:cs="David" w:hint="cs"/>
          <w:sz w:val="24"/>
          <w:szCs w:val="24"/>
          <w:rtl/>
        </w:rPr>
        <w:t>ר</w:t>
      </w:r>
      <w:r w:rsidR="001253E7">
        <w:rPr>
          <w:rFonts w:cs="David" w:hint="cs"/>
          <w:sz w:val="24"/>
          <w:szCs w:val="24"/>
          <w:rtl/>
        </w:rPr>
        <w:t xml:space="preserve"> החוקי המאפשר את הקדמת הבחינה </w:t>
      </w:r>
      <w:r w:rsidR="00D9533A">
        <w:rPr>
          <w:rFonts w:cs="David" w:hint="cs"/>
          <w:sz w:val="24"/>
          <w:szCs w:val="24"/>
          <w:rtl/>
        </w:rPr>
        <w:t xml:space="preserve">היה </w:t>
      </w:r>
      <w:r w:rsidR="001253E7">
        <w:rPr>
          <w:rFonts w:cs="David" w:hint="cs"/>
          <w:sz w:val="24"/>
          <w:szCs w:val="24"/>
          <w:rtl/>
        </w:rPr>
        <w:t xml:space="preserve">קבוע </w:t>
      </w:r>
      <w:r w:rsidR="00D9533A">
        <w:rPr>
          <w:rFonts w:cs="David" w:hint="cs"/>
          <w:sz w:val="24"/>
          <w:szCs w:val="24"/>
          <w:rtl/>
        </w:rPr>
        <w:t>בעבר בתקנה 35 לתקנות הפטנטים, ו</w:t>
      </w:r>
      <w:r w:rsidR="00287695">
        <w:rPr>
          <w:rFonts w:cs="David" w:hint="cs"/>
          <w:sz w:val="24"/>
          <w:szCs w:val="24"/>
          <w:rtl/>
        </w:rPr>
        <w:t>עוגן בסעיף 19א לחוק הפטנטים בתיקון מס' 10 לחוק משנת 2012.</w:t>
      </w:r>
    </w:p>
    <w:p w:rsidR="009750BC" w:rsidRDefault="00FE5D4B" w:rsidP="009E0B85">
      <w:pPr>
        <w:jc w:val="both"/>
        <w:rPr>
          <w:rFonts w:cs="David"/>
          <w:sz w:val="24"/>
          <w:szCs w:val="24"/>
          <w:rtl/>
        </w:rPr>
      </w:pPr>
      <w:r>
        <w:rPr>
          <w:rFonts w:cs="David" w:hint="cs"/>
          <w:sz w:val="24"/>
          <w:szCs w:val="24"/>
          <w:rtl/>
        </w:rPr>
        <w:t>לפני תיקון מס' 10 לחוק, בקשה לבחינה על אתר היתה מוגשת על ידי מבקש הפטנט בלבד, ו</w:t>
      </w:r>
      <w:r w:rsidR="009E0B85">
        <w:rPr>
          <w:rFonts w:cs="David" w:hint="cs"/>
          <w:sz w:val="24"/>
          <w:szCs w:val="24"/>
          <w:rtl/>
        </w:rPr>
        <w:t>ניתן היה</w:t>
      </w:r>
      <w:r>
        <w:rPr>
          <w:rFonts w:cs="David" w:hint="cs"/>
          <w:sz w:val="24"/>
          <w:szCs w:val="24"/>
          <w:rtl/>
        </w:rPr>
        <w:t xml:space="preserve"> </w:t>
      </w:r>
      <w:r w:rsidR="009E0B85">
        <w:rPr>
          <w:rFonts w:cs="David" w:hint="cs"/>
          <w:sz w:val="24"/>
          <w:szCs w:val="24"/>
          <w:rtl/>
        </w:rPr>
        <w:t xml:space="preserve">לגבות </w:t>
      </w:r>
      <w:r>
        <w:rPr>
          <w:rFonts w:cs="David" w:hint="cs"/>
          <w:sz w:val="24"/>
          <w:szCs w:val="24"/>
          <w:rtl/>
        </w:rPr>
        <w:t xml:space="preserve">עבורה אגרה אחת עם הגשתה. </w:t>
      </w:r>
    </w:p>
    <w:p w:rsidR="00FE5D4B" w:rsidRDefault="00FE5D4B" w:rsidP="009750BC">
      <w:pPr>
        <w:jc w:val="both"/>
        <w:rPr>
          <w:rFonts w:cs="David"/>
          <w:sz w:val="24"/>
          <w:szCs w:val="24"/>
          <w:rtl/>
        </w:rPr>
      </w:pPr>
      <w:r>
        <w:rPr>
          <w:rFonts w:cs="David" w:hint="cs"/>
          <w:sz w:val="24"/>
          <w:szCs w:val="24"/>
          <w:rtl/>
        </w:rPr>
        <w:lastRenderedPageBreak/>
        <w:t>התיקון לחוק הוסיף שני חידושים מרכזיים</w:t>
      </w:r>
      <w:r w:rsidR="0066186C">
        <w:rPr>
          <w:rFonts w:cs="David" w:hint="cs"/>
          <w:sz w:val="24"/>
          <w:szCs w:val="24"/>
          <w:rtl/>
        </w:rPr>
        <w:t xml:space="preserve"> </w:t>
      </w:r>
      <w:r w:rsidR="00484104">
        <w:rPr>
          <w:rFonts w:cs="David" w:hint="cs"/>
          <w:sz w:val="24"/>
          <w:szCs w:val="24"/>
          <w:rtl/>
        </w:rPr>
        <w:t>בהקשר זה</w:t>
      </w:r>
      <w:r w:rsidR="00CD097A">
        <w:rPr>
          <w:rFonts w:cs="David" w:hint="cs"/>
          <w:sz w:val="24"/>
          <w:szCs w:val="24"/>
          <w:rtl/>
        </w:rPr>
        <w:t xml:space="preserve"> </w:t>
      </w:r>
      <w:r w:rsidR="0066186C">
        <w:rPr>
          <w:rFonts w:cs="David"/>
          <w:sz w:val="24"/>
          <w:szCs w:val="24"/>
          <w:rtl/>
        </w:rPr>
        <w:t>–</w:t>
      </w:r>
      <w:r w:rsidR="0066186C">
        <w:rPr>
          <w:rFonts w:cs="David" w:hint="cs"/>
          <w:sz w:val="24"/>
          <w:szCs w:val="24"/>
          <w:rtl/>
        </w:rPr>
        <w:t xml:space="preserve"> </w:t>
      </w:r>
    </w:p>
    <w:p w:rsidR="00FE5D4B" w:rsidRDefault="0066186C" w:rsidP="00B81ED7">
      <w:pPr>
        <w:pStyle w:val="a6"/>
        <w:numPr>
          <w:ilvl w:val="0"/>
          <w:numId w:val="13"/>
        </w:numPr>
        <w:jc w:val="both"/>
        <w:rPr>
          <w:rFonts w:cs="David"/>
          <w:sz w:val="24"/>
          <w:szCs w:val="24"/>
        </w:rPr>
      </w:pPr>
      <w:r>
        <w:rPr>
          <w:rFonts w:cs="David" w:hint="cs"/>
          <w:sz w:val="24"/>
          <w:szCs w:val="24"/>
          <w:rtl/>
        </w:rPr>
        <w:t xml:space="preserve">נוסף על הגשת בקשה לבחינה על אתר על ידי </w:t>
      </w:r>
      <w:r w:rsidRPr="0066186C">
        <w:rPr>
          <w:rFonts w:cs="David" w:hint="cs"/>
          <w:sz w:val="24"/>
          <w:szCs w:val="24"/>
          <w:rtl/>
        </w:rPr>
        <w:t>מי שהגיש את בקשת הפטנט</w:t>
      </w:r>
      <w:r>
        <w:rPr>
          <w:rFonts w:cs="David" w:hint="cs"/>
          <w:sz w:val="24"/>
          <w:szCs w:val="24"/>
          <w:rtl/>
        </w:rPr>
        <w:t xml:space="preserve"> (סעיף 19א(א) לחוק), נקבע כי </w:t>
      </w:r>
      <w:r w:rsidRPr="0066186C">
        <w:rPr>
          <w:rFonts w:cs="David" w:hint="cs"/>
          <w:b/>
          <w:bCs/>
          <w:sz w:val="24"/>
          <w:szCs w:val="24"/>
          <w:rtl/>
        </w:rPr>
        <w:t>גם צד שלישי שלא הגיש את בקשת הפטנט</w:t>
      </w:r>
      <w:r>
        <w:rPr>
          <w:rFonts w:cs="David" w:hint="cs"/>
          <w:sz w:val="24"/>
          <w:szCs w:val="24"/>
          <w:rtl/>
        </w:rPr>
        <w:t xml:space="preserve"> רשאי לבקשת את</w:t>
      </w:r>
      <w:r w:rsidR="001253E7">
        <w:rPr>
          <w:rFonts w:cs="David" w:hint="cs"/>
          <w:sz w:val="24"/>
          <w:szCs w:val="24"/>
          <w:rtl/>
        </w:rPr>
        <w:t xml:space="preserve"> הקדמת הבחינה (ס' 19א(ג) לחוק). במקרה כזה גם </w:t>
      </w:r>
      <w:r w:rsidR="001253E7" w:rsidRPr="001253E7">
        <w:rPr>
          <w:rFonts w:cs="David" w:hint="cs"/>
          <w:b/>
          <w:bCs/>
          <w:sz w:val="24"/>
          <w:szCs w:val="24"/>
          <w:rtl/>
        </w:rPr>
        <w:t xml:space="preserve">תוגבל משמעותית יכולתו של מבקש הפטנט לקבל </w:t>
      </w:r>
      <w:proofErr w:type="spellStart"/>
      <w:r w:rsidR="001253E7" w:rsidRPr="001253E7">
        <w:rPr>
          <w:rFonts w:cs="David" w:hint="cs"/>
          <w:b/>
          <w:bCs/>
          <w:sz w:val="24"/>
          <w:szCs w:val="24"/>
          <w:rtl/>
        </w:rPr>
        <w:t>ארכות</w:t>
      </w:r>
      <w:proofErr w:type="spellEnd"/>
      <w:r w:rsidR="001253E7" w:rsidRPr="001253E7">
        <w:rPr>
          <w:rFonts w:cs="David" w:hint="cs"/>
          <w:b/>
          <w:bCs/>
          <w:sz w:val="24"/>
          <w:szCs w:val="24"/>
          <w:rtl/>
        </w:rPr>
        <w:t xml:space="preserve"> שונות</w:t>
      </w:r>
      <w:r w:rsidR="001253E7">
        <w:rPr>
          <w:rFonts w:cs="David" w:hint="cs"/>
          <w:sz w:val="24"/>
          <w:szCs w:val="24"/>
          <w:rtl/>
        </w:rPr>
        <w:t xml:space="preserve"> במהלך בחינת הבקשה (סעיף 19א(ו) לחוק). </w:t>
      </w:r>
      <w:r w:rsidRPr="00F66FF4">
        <w:rPr>
          <w:rFonts w:cs="David" w:hint="cs"/>
          <w:sz w:val="24"/>
          <w:szCs w:val="24"/>
          <w:rtl/>
        </w:rPr>
        <w:t>אפשרות זו</w:t>
      </w:r>
      <w:r>
        <w:rPr>
          <w:rFonts w:cs="David" w:hint="cs"/>
          <w:sz w:val="24"/>
          <w:szCs w:val="24"/>
          <w:rtl/>
        </w:rPr>
        <w:t>, שנוספה לתיקון במהלך הליך החקיקה בוועדה,</w:t>
      </w:r>
      <w:r w:rsidRPr="00F66FF4">
        <w:rPr>
          <w:rFonts w:cs="David" w:hint="cs"/>
          <w:sz w:val="24"/>
          <w:szCs w:val="24"/>
          <w:rtl/>
        </w:rPr>
        <w:t xml:space="preserve"> </w:t>
      </w:r>
      <w:r>
        <w:rPr>
          <w:rFonts w:cs="David" w:hint="cs"/>
          <w:sz w:val="24"/>
          <w:szCs w:val="24"/>
          <w:rtl/>
        </w:rPr>
        <w:t>היא</w:t>
      </w:r>
      <w:r w:rsidRPr="00F66FF4">
        <w:rPr>
          <w:rFonts w:cs="David" w:hint="cs"/>
          <w:sz w:val="24"/>
          <w:szCs w:val="24"/>
          <w:rtl/>
        </w:rPr>
        <w:t xml:space="preserve"> ייחודית לישראל ואינה קיימת במקומות אחרים בעולם. היא נועדה להתמודד עם חשש</w:t>
      </w:r>
      <w:r w:rsidR="002B4F32">
        <w:rPr>
          <w:rFonts w:cs="David" w:hint="cs"/>
          <w:sz w:val="24"/>
          <w:szCs w:val="24"/>
          <w:rtl/>
        </w:rPr>
        <w:t>ם</w:t>
      </w:r>
      <w:r w:rsidRPr="00F66FF4">
        <w:rPr>
          <w:rFonts w:cs="David" w:hint="cs"/>
          <w:sz w:val="24"/>
          <w:szCs w:val="24"/>
          <w:rtl/>
        </w:rPr>
        <w:t xml:space="preserve"> של </w:t>
      </w:r>
      <w:r w:rsidR="002B4F32">
        <w:rPr>
          <w:rFonts w:cs="David" w:hint="cs"/>
          <w:sz w:val="24"/>
          <w:szCs w:val="24"/>
          <w:rtl/>
        </w:rPr>
        <w:t>מתחרים בשוק</w:t>
      </w:r>
      <w:r w:rsidRPr="00F66FF4">
        <w:rPr>
          <w:rFonts w:cs="David" w:hint="cs"/>
          <w:sz w:val="24"/>
          <w:szCs w:val="24"/>
          <w:rtl/>
        </w:rPr>
        <w:t xml:space="preserve"> </w:t>
      </w:r>
      <w:r w:rsidR="006D544A">
        <w:rPr>
          <w:rFonts w:cs="David" w:hint="cs"/>
          <w:sz w:val="24"/>
          <w:szCs w:val="24"/>
          <w:rtl/>
        </w:rPr>
        <w:t xml:space="preserve">מפני הארכה </w:t>
      </w:r>
      <w:r w:rsidR="00A83268">
        <w:rPr>
          <w:rFonts w:cs="David" w:hint="cs"/>
          <w:sz w:val="24"/>
          <w:szCs w:val="24"/>
          <w:rtl/>
        </w:rPr>
        <w:t>שלא לצורך</w:t>
      </w:r>
      <w:r w:rsidR="006D544A">
        <w:rPr>
          <w:rFonts w:cs="David" w:hint="cs"/>
          <w:sz w:val="24"/>
          <w:szCs w:val="24"/>
          <w:rtl/>
        </w:rPr>
        <w:t xml:space="preserve"> של </w:t>
      </w:r>
      <w:r>
        <w:rPr>
          <w:rFonts w:cs="David" w:hint="cs"/>
          <w:sz w:val="24"/>
          <w:szCs w:val="24"/>
          <w:rtl/>
        </w:rPr>
        <w:t xml:space="preserve">הליך בחינת הבקשה </w:t>
      </w:r>
      <w:r w:rsidR="005507CC">
        <w:rPr>
          <w:rFonts w:cs="David" w:hint="cs"/>
          <w:sz w:val="24"/>
          <w:szCs w:val="24"/>
          <w:rtl/>
        </w:rPr>
        <w:t xml:space="preserve">בידי מבקשי פטנטים </w:t>
      </w:r>
      <w:r w:rsidRPr="00F66FF4">
        <w:rPr>
          <w:rFonts w:cs="David" w:hint="cs"/>
          <w:sz w:val="24"/>
          <w:szCs w:val="24"/>
          <w:rtl/>
        </w:rPr>
        <w:t xml:space="preserve">כדי להאריך את פרק הזמן של חוסר הוודאות </w:t>
      </w:r>
      <w:r>
        <w:rPr>
          <w:rFonts w:cs="David" w:hint="cs"/>
          <w:sz w:val="24"/>
          <w:szCs w:val="24"/>
          <w:rtl/>
        </w:rPr>
        <w:t>ב</w:t>
      </w:r>
      <w:r w:rsidRPr="00F66FF4">
        <w:rPr>
          <w:rFonts w:cs="David" w:hint="cs"/>
          <w:sz w:val="24"/>
          <w:szCs w:val="24"/>
          <w:rtl/>
        </w:rPr>
        <w:t xml:space="preserve">שאלה האם אמצאה פלונית </w:t>
      </w:r>
      <w:r w:rsidR="006D544A">
        <w:rPr>
          <w:rFonts w:cs="David" w:hint="cs"/>
          <w:sz w:val="24"/>
          <w:szCs w:val="24"/>
          <w:rtl/>
        </w:rPr>
        <w:t>היא כשירת</w:t>
      </w:r>
      <w:r w:rsidR="006D544A" w:rsidRPr="00F66FF4">
        <w:rPr>
          <w:rFonts w:cs="David" w:hint="cs"/>
          <w:sz w:val="24"/>
          <w:szCs w:val="24"/>
          <w:rtl/>
        </w:rPr>
        <w:t xml:space="preserve"> </w:t>
      </w:r>
      <w:r w:rsidRPr="00F66FF4">
        <w:rPr>
          <w:rFonts w:cs="David" w:hint="cs"/>
          <w:sz w:val="24"/>
          <w:szCs w:val="24"/>
          <w:rtl/>
        </w:rPr>
        <w:t>פטנט</w:t>
      </w:r>
      <w:r w:rsidR="00B81ED7">
        <w:rPr>
          <w:rFonts w:cs="David" w:hint="cs"/>
          <w:sz w:val="24"/>
          <w:szCs w:val="24"/>
          <w:rtl/>
        </w:rPr>
        <w:t>.</w:t>
      </w:r>
      <w:r w:rsidR="002B4F32">
        <w:rPr>
          <w:rFonts w:cs="David" w:hint="cs"/>
          <w:sz w:val="24"/>
          <w:szCs w:val="24"/>
          <w:rtl/>
        </w:rPr>
        <w:t xml:space="preserve"> </w:t>
      </w:r>
      <w:r w:rsidR="00B81ED7">
        <w:rPr>
          <w:rFonts w:cs="David" w:hint="cs"/>
          <w:sz w:val="24"/>
          <w:szCs w:val="24"/>
          <w:rtl/>
        </w:rPr>
        <w:t>תקופה זו של חוסר ודאות מ</w:t>
      </w:r>
      <w:r w:rsidR="002B4F32">
        <w:rPr>
          <w:rFonts w:cs="David" w:hint="cs"/>
          <w:sz w:val="24"/>
          <w:szCs w:val="24"/>
          <w:rtl/>
        </w:rPr>
        <w:t xml:space="preserve">קשה על מתחרה פוטנציאלי לקבל החלטה </w:t>
      </w:r>
      <w:r w:rsidR="009513C5">
        <w:rPr>
          <w:rFonts w:cs="David" w:hint="cs"/>
          <w:sz w:val="24"/>
          <w:szCs w:val="24"/>
          <w:rtl/>
        </w:rPr>
        <w:t xml:space="preserve">האם להכניס לשוק </w:t>
      </w:r>
      <w:r w:rsidR="002B4F32">
        <w:rPr>
          <w:rFonts w:cs="David" w:hint="cs"/>
          <w:sz w:val="24"/>
          <w:szCs w:val="24"/>
          <w:rtl/>
        </w:rPr>
        <w:t xml:space="preserve">מוצר מתחרה, כגון תרופה גנרית בתחום </w:t>
      </w:r>
      <w:proofErr w:type="spellStart"/>
      <w:r w:rsidR="002B4F32">
        <w:rPr>
          <w:rFonts w:cs="David" w:hint="cs"/>
          <w:sz w:val="24"/>
          <w:szCs w:val="24"/>
          <w:rtl/>
        </w:rPr>
        <w:t>הפארמה</w:t>
      </w:r>
      <w:proofErr w:type="spellEnd"/>
      <w:r w:rsidRPr="00F66FF4">
        <w:rPr>
          <w:rFonts w:cs="David" w:hint="cs"/>
          <w:sz w:val="24"/>
          <w:szCs w:val="24"/>
          <w:rtl/>
        </w:rPr>
        <w:t xml:space="preserve">. </w:t>
      </w:r>
      <w:r w:rsidR="00064EB0">
        <w:rPr>
          <w:rFonts w:cs="David" w:hint="cs"/>
          <w:sz w:val="24"/>
          <w:szCs w:val="24"/>
          <w:rtl/>
        </w:rPr>
        <w:t>מאחר שהוראה זו מקשה על מבקש הפטנט, שכפוף לסד זמנים לוחץ יותר במהלך בחינת בקשתו, עלה בדיוני הוועדה בעת חקיק</w:t>
      </w:r>
      <w:r w:rsidR="006D544A">
        <w:rPr>
          <w:rFonts w:cs="David" w:hint="cs"/>
          <w:sz w:val="24"/>
          <w:szCs w:val="24"/>
          <w:rtl/>
        </w:rPr>
        <w:t>ת</w:t>
      </w:r>
      <w:r w:rsidR="00064EB0">
        <w:rPr>
          <w:rFonts w:cs="David" w:hint="cs"/>
          <w:sz w:val="24"/>
          <w:szCs w:val="24"/>
          <w:rtl/>
        </w:rPr>
        <w:t xml:space="preserve"> החוק </w:t>
      </w:r>
      <w:r w:rsidR="001253E7">
        <w:rPr>
          <w:rFonts w:cs="David" w:hint="cs"/>
          <w:sz w:val="24"/>
          <w:szCs w:val="24"/>
          <w:rtl/>
        </w:rPr>
        <w:t xml:space="preserve">ותיקון התקנות בעקבותיו </w:t>
      </w:r>
      <w:r w:rsidR="00064EB0">
        <w:rPr>
          <w:rFonts w:cs="David" w:hint="cs"/>
          <w:sz w:val="24"/>
          <w:szCs w:val="24"/>
          <w:rtl/>
        </w:rPr>
        <w:t>כי יש מקום לקבוע אגרה גבוהה מאוד עבור הקדמת בחינה לבקשת צד שלישי</w:t>
      </w:r>
      <w:r w:rsidR="001253E7">
        <w:rPr>
          <w:rFonts w:cs="David" w:hint="cs"/>
          <w:sz w:val="24"/>
          <w:szCs w:val="24"/>
          <w:rtl/>
        </w:rPr>
        <w:t xml:space="preserve"> </w:t>
      </w:r>
      <w:r w:rsidR="001253E7">
        <w:rPr>
          <w:rFonts w:cs="David"/>
          <w:sz w:val="24"/>
          <w:szCs w:val="24"/>
          <w:rtl/>
        </w:rPr>
        <w:t>–</w:t>
      </w:r>
      <w:r w:rsidR="001253E7">
        <w:rPr>
          <w:rFonts w:cs="David" w:hint="cs"/>
          <w:sz w:val="24"/>
          <w:szCs w:val="24"/>
          <w:rtl/>
        </w:rPr>
        <w:t xml:space="preserve"> אז הוזכר סכום של 25,000 ש"ח</w:t>
      </w:r>
      <w:r w:rsidR="00064EB0">
        <w:rPr>
          <w:rFonts w:cs="David" w:hint="cs"/>
          <w:sz w:val="24"/>
          <w:szCs w:val="24"/>
          <w:rtl/>
        </w:rPr>
        <w:t>.</w:t>
      </w:r>
      <w:r w:rsidR="00333A23">
        <w:rPr>
          <w:rStyle w:val="a5"/>
          <w:rFonts w:cs="David"/>
          <w:sz w:val="24"/>
          <w:szCs w:val="24"/>
          <w:rtl/>
        </w:rPr>
        <w:footnoteReference w:id="4"/>
      </w:r>
      <w:r w:rsidR="00064EB0">
        <w:rPr>
          <w:rFonts w:cs="David" w:hint="cs"/>
          <w:sz w:val="24"/>
          <w:szCs w:val="24"/>
          <w:rtl/>
        </w:rPr>
        <w:t xml:space="preserve"> </w:t>
      </w:r>
    </w:p>
    <w:p w:rsidR="00FE5D4B" w:rsidRPr="0066186C" w:rsidRDefault="0066186C" w:rsidP="001253E7">
      <w:pPr>
        <w:pStyle w:val="a6"/>
        <w:numPr>
          <w:ilvl w:val="0"/>
          <w:numId w:val="13"/>
        </w:numPr>
        <w:jc w:val="both"/>
        <w:rPr>
          <w:rFonts w:cs="David"/>
          <w:sz w:val="24"/>
          <w:szCs w:val="24"/>
          <w:rtl/>
        </w:rPr>
      </w:pPr>
      <w:r>
        <w:rPr>
          <w:rFonts w:cs="David" w:hint="cs"/>
          <w:sz w:val="24"/>
          <w:szCs w:val="24"/>
          <w:rtl/>
        </w:rPr>
        <w:t xml:space="preserve">נקבע כי </w:t>
      </w:r>
      <w:r w:rsidR="00FE5D4B" w:rsidRPr="0066186C">
        <w:rPr>
          <w:rFonts w:cs="David" w:hint="cs"/>
          <w:sz w:val="24"/>
          <w:szCs w:val="24"/>
          <w:rtl/>
        </w:rPr>
        <w:t xml:space="preserve">בקשה </w:t>
      </w:r>
      <w:r w:rsidR="001253E7">
        <w:rPr>
          <w:rFonts w:cs="David" w:hint="cs"/>
          <w:sz w:val="24"/>
          <w:szCs w:val="24"/>
          <w:rtl/>
        </w:rPr>
        <w:t>להקדמת בחינה</w:t>
      </w:r>
      <w:r w:rsidR="00FE5D4B" w:rsidRPr="0066186C">
        <w:rPr>
          <w:rFonts w:cs="David" w:hint="cs"/>
          <w:sz w:val="24"/>
          <w:szCs w:val="24"/>
          <w:rtl/>
        </w:rPr>
        <w:t xml:space="preserve"> תיעשה בשני שלבים:</w:t>
      </w:r>
    </w:p>
    <w:p w:rsidR="00B12E4D" w:rsidRDefault="00B12E4D" w:rsidP="00270B95">
      <w:pPr>
        <w:pStyle w:val="a6"/>
        <w:numPr>
          <w:ilvl w:val="0"/>
          <w:numId w:val="12"/>
        </w:numPr>
        <w:jc w:val="both"/>
        <w:rPr>
          <w:rFonts w:cs="David"/>
          <w:sz w:val="24"/>
          <w:szCs w:val="24"/>
        </w:rPr>
      </w:pPr>
      <w:r>
        <w:rPr>
          <w:rFonts w:cs="David" w:hint="cs"/>
          <w:sz w:val="24"/>
          <w:szCs w:val="24"/>
          <w:rtl/>
        </w:rPr>
        <w:t xml:space="preserve">תחילה </w:t>
      </w:r>
      <w:r w:rsidR="00156357">
        <w:rPr>
          <w:rFonts w:cs="David" w:hint="cs"/>
          <w:sz w:val="24"/>
          <w:szCs w:val="24"/>
          <w:rtl/>
        </w:rPr>
        <w:t>תוגש</w:t>
      </w:r>
      <w:r>
        <w:rPr>
          <w:rFonts w:cs="David" w:hint="cs"/>
          <w:sz w:val="24"/>
          <w:szCs w:val="24"/>
          <w:rtl/>
        </w:rPr>
        <w:t xml:space="preserve"> </w:t>
      </w:r>
      <w:r w:rsidRPr="00AA7A4D">
        <w:rPr>
          <w:rFonts w:cs="David" w:hint="cs"/>
          <w:b/>
          <w:bCs/>
          <w:sz w:val="24"/>
          <w:szCs w:val="24"/>
          <w:rtl/>
        </w:rPr>
        <w:t>בקשה</w:t>
      </w:r>
      <w:r>
        <w:rPr>
          <w:rFonts w:cs="David" w:hint="cs"/>
          <w:sz w:val="24"/>
          <w:szCs w:val="24"/>
          <w:rtl/>
        </w:rPr>
        <w:t xml:space="preserve"> </w:t>
      </w:r>
      <w:r w:rsidR="00287695">
        <w:rPr>
          <w:rFonts w:cs="David" w:hint="cs"/>
          <w:sz w:val="24"/>
          <w:szCs w:val="24"/>
          <w:rtl/>
        </w:rPr>
        <w:t>להקדמת בחינת בקשת הפטנט</w:t>
      </w:r>
      <w:r>
        <w:rPr>
          <w:rFonts w:cs="David" w:hint="cs"/>
          <w:sz w:val="24"/>
          <w:szCs w:val="24"/>
          <w:rtl/>
        </w:rPr>
        <w:t xml:space="preserve">, והרשם </w:t>
      </w:r>
      <w:r w:rsidR="00156357">
        <w:rPr>
          <w:rFonts w:cs="David" w:hint="cs"/>
          <w:sz w:val="24"/>
          <w:szCs w:val="24"/>
          <w:rtl/>
        </w:rPr>
        <w:t>יחליט</w:t>
      </w:r>
      <w:r>
        <w:rPr>
          <w:rFonts w:cs="David" w:hint="cs"/>
          <w:sz w:val="24"/>
          <w:szCs w:val="24"/>
          <w:rtl/>
        </w:rPr>
        <w:t xml:space="preserve"> האם להיעתר לה. בשלב זה </w:t>
      </w:r>
      <w:r w:rsidR="00156357">
        <w:rPr>
          <w:rFonts w:cs="David" w:hint="cs"/>
          <w:sz w:val="24"/>
          <w:szCs w:val="24"/>
          <w:rtl/>
        </w:rPr>
        <w:t xml:space="preserve">יבחן </w:t>
      </w:r>
      <w:r>
        <w:rPr>
          <w:rFonts w:cs="David" w:hint="cs"/>
          <w:sz w:val="24"/>
          <w:szCs w:val="24"/>
          <w:rtl/>
        </w:rPr>
        <w:t xml:space="preserve">הרשם האם התקיימו נימוקים </w:t>
      </w:r>
      <w:r w:rsidR="00156357">
        <w:rPr>
          <w:rFonts w:cs="David" w:hint="cs"/>
          <w:sz w:val="24"/>
          <w:szCs w:val="24"/>
          <w:rtl/>
        </w:rPr>
        <w:t xml:space="preserve">סבירים </w:t>
      </w:r>
      <w:r>
        <w:rPr>
          <w:rFonts w:cs="David" w:hint="cs"/>
          <w:sz w:val="24"/>
          <w:szCs w:val="24"/>
          <w:rtl/>
        </w:rPr>
        <w:t>שמצדיקים את הקדמת הבחינה.</w:t>
      </w:r>
    </w:p>
    <w:p w:rsidR="00270B95" w:rsidRPr="00270B95" w:rsidRDefault="00270B95" w:rsidP="00270B95">
      <w:pPr>
        <w:pStyle w:val="a6"/>
        <w:spacing w:after="0"/>
        <w:jc w:val="both"/>
        <w:rPr>
          <w:rFonts w:cs="David"/>
          <w:sz w:val="24"/>
          <w:szCs w:val="24"/>
          <w:rtl/>
        </w:rPr>
      </w:pPr>
      <w:r w:rsidRPr="00270B95">
        <w:rPr>
          <w:rFonts w:cs="David" w:hint="cs"/>
          <w:sz w:val="24"/>
          <w:szCs w:val="24"/>
          <w:rtl/>
        </w:rPr>
        <w:t xml:space="preserve">סעיף 19א לחוק מונה נימוקים </w:t>
      </w:r>
      <w:r>
        <w:rPr>
          <w:rFonts w:cs="David" w:hint="cs"/>
          <w:sz w:val="24"/>
          <w:szCs w:val="24"/>
          <w:rtl/>
        </w:rPr>
        <w:t>שייחשבו כסבירים, בהתאם לסוג הבקשה שהוגשה:</w:t>
      </w:r>
    </w:p>
    <w:p w:rsidR="00270B95" w:rsidRPr="00270B95" w:rsidRDefault="00270B95" w:rsidP="00270B95">
      <w:pPr>
        <w:pStyle w:val="a6"/>
        <w:spacing w:after="0"/>
        <w:jc w:val="both"/>
        <w:rPr>
          <w:rFonts w:cs="David"/>
          <w:sz w:val="24"/>
          <w:szCs w:val="24"/>
          <w:rtl/>
        </w:rPr>
      </w:pPr>
      <w:r w:rsidRPr="00702ED8">
        <w:rPr>
          <w:rFonts w:cs="David" w:hint="cs"/>
          <w:sz w:val="24"/>
          <w:szCs w:val="24"/>
          <w:u w:val="single"/>
          <w:rtl/>
        </w:rPr>
        <w:t>בבקשה שהוגשה על ידי המבקש</w:t>
      </w:r>
      <w:r w:rsidRPr="00270B95">
        <w:rPr>
          <w:rFonts w:cs="David" w:hint="cs"/>
          <w:sz w:val="24"/>
          <w:szCs w:val="24"/>
          <w:rtl/>
        </w:rPr>
        <w:t xml:space="preserve">: </w:t>
      </w:r>
      <w:r w:rsidRPr="00270B95">
        <w:rPr>
          <w:rFonts w:cs="David" w:hint="cs"/>
          <w:b/>
          <w:bCs/>
          <w:sz w:val="24"/>
          <w:szCs w:val="24"/>
          <w:rtl/>
        </w:rPr>
        <w:t xml:space="preserve">(1) </w:t>
      </w:r>
      <w:r w:rsidRPr="00270B95">
        <w:rPr>
          <w:rFonts w:cs="David" w:hint="cs"/>
          <w:sz w:val="24"/>
          <w:szCs w:val="24"/>
          <w:rtl/>
        </w:rPr>
        <w:t xml:space="preserve">גילו המתקדם או מצבו הרפואי של המבקש; </w:t>
      </w:r>
      <w:r w:rsidRPr="00270B95">
        <w:rPr>
          <w:rFonts w:cs="David" w:hint="cs"/>
          <w:b/>
          <w:bCs/>
          <w:sz w:val="24"/>
          <w:szCs w:val="24"/>
          <w:rtl/>
        </w:rPr>
        <w:t>(2)</w:t>
      </w:r>
      <w:r w:rsidRPr="00270B95">
        <w:rPr>
          <w:rFonts w:cs="David" w:hint="cs"/>
          <w:sz w:val="24"/>
          <w:szCs w:val="24"/>
          <w:rtl/>
        </w:rPr>
        <w:t xml:space="preserve"> הודעה של הרשם בדבר אפשרות להקדים את הבחינה בשל בחינת בקשה מקבילה בתנאים ובמדינות שעליהם הודיע הרשם; </w:t>
      </w:r>
      <w:r w:rsidRPr="00270B95">
        <w:rPr>
          <w:rFonts w:cs="David" w:hint="cs"/>
          <w:b/>
          <w:bCs/>
          <w:sz w:val="24"/>
          <w:szCs w:val="24"/>
          <w:rtl/>
        </w:rPr>
        <w:t>(3)</w:t>
      </w:r>
      <w:r w:rsidRPr="00270B95">
        <w:rPr>
          <w:rFonts w:cs="David" w:hint="cs"/>
          <w:sz w:val="24"/>
          <w:szCs w:val="24"/>
          <w:rtl/>
        </w:rPr>
        <w:t xml:space="preserve"> אדם אחר התחיל לנצל את האמצאה הנתבעת בתביעה של בקשת הפטנט, בלא רשותו של מבקש הפטנט, או שיש ביסוס לחשש שהוא יעשה כן; </w:t>
      </w:r>
      <w:r w:rsidRPr="00270B95">
        <w:rPr>
          <w:rFonts w:cs="David" w:hint="cs"/>
          <w:b/>
          <w:bCs/>
          <w:sz w:val="24"/>
          <w:szCs w:val="24"/>
          <w:rtl/>
        </w:rPr>
        <w:t xml:space="preserve">(4) </w:t>
      </w:r>
      <w:r w:rsidRPr="00270B95">
        <w:rPr>
          <w:rFonts w:cs="David" w:hint="cs"/>
          <w:sz w:val="24"/>
          <w:szCs w:val="24"/>
          <w:rtl/>
        </w:rPr>
        <w:t xml:space="preserve">חלוף הזמן מאז הוגשה הבקשה לרשות לפי סעיף 15 או מיום כניסתה לשלב הלאומי לפי סעיף 48ד ארוך באופן בלתי סביר, ובכלל זה ארוך באופן משמעותי לעומת המועד שחלף עד לתחילת הבחינה של בקשות אחרות מאותו סוג; </w:t>
      </w:r>
      <w:r w:rsidRPr="00270B95">
        <w:rPr>
          <w:rFonts w:cs="David" w:hint="cs"/>
          <w:b/>
          <w:bCs/>
          <w:sz w:val="24"/>
          <w:szCs w:val="24"/>
          <w:rtl/>
        </w:rPr>
        <w:t xml:space="preserve">(5) </w:t>
      </w:r>
      <w:r w:rsidRPr="00270B95">
        <w:rPr>
          <w:rFonts w:cs="David" w:hint="cs"/>
          <w:sz w:val="24"/>
          <w:szCs w:val="24"/>
          <w:rtl/>
        </w:rPr>
        <w:t xml:space="preserve">טובת הציבור; </w:t>
      </w:r>
      <w:r w:rsidRPr="00270B95">
        <w:rPr>
          <w:rFonts w:cs="David" w:hint="cs"/>
          <w:b/>
          <w:bCs/>
          <w:sz w:val="24"/>
          <w:szCs w:val="24"/>
          <w:rtl/>
        </w:rPr>
        <w:t xml:space="preserve">(6) </w:t>
      </w:r>
      <w:r w:rsidRPr="00270B95">
        <w:rPr>
          <w:rFonts w:cs="David" w:hint="cs"/>
          <w:sz w:val="24"/>
          <w:szCs w:val="24"/>
          <w:rtl/>
        </w:rPr>
        <w:t xml:space="preserve">יש נסיבות מיוחדות המצדיקות זאת. </w:t>
      </w:r>
    </w:p>
    <w:p w:rsidR="00270B95" w:rsidRPr="00270B95" w:rsidRDefault="00270B95" w:rsidP="00270B95">
      <w:pPr>
        <w:pStyle w:val="a6"/>
        <w:jc w:val="both"/>
        <w:rPr>
          <w:rFonts w:cs="David"/>
          <w:sz w:val="24"/>
          <w:szCs w:val="24"/>
        </w:rPr>
      </w:pPr>
      <w:r w:rsidRPr="00702ED8">
        <w:rPr>
          <w:rFonts w:cs="David" w:hint="cs"/>
          <w:sz w:val="24"/>
          <w:szCs w:val="24"/>
          <w:u w:val="single"/>
          <w:rtl/>
        </w:rPr>
        <w:t>בבקשה שהוגשה על ידי צד שלישי</w:t>
      </w:r>
      <w:r w:rsidRPr="00270B95">
        <w:rPr>
          <w:rFonts w:cs="David" w:hint="cs"/>
          <w:sz w:val="24"/>
          <w:szCs w:val="24"/>
          <w:rtl/>
        </w:rPr>
        <w:t xml:space="preserve">: </w:t>
      </w:r>
      <w:r w:rsidRPr="00270B95">
        <w:rPr>
          <w:rFonts w:cs="David" w:hint="cs"/>
          <w:b/>
          <w:bCs/>
          <w:sz w:val="24"/>
          <w:szCs w:val="24"/>
          <w:rtl/>
        </w:rPr>
        <w:t>(1)</w:t>
      </w:r>
      <w:r w:rsidRPr="00270B95">
        <w:rPr>
          <w:rFonts w:cs="David" w:hint="cs"/>
          <w:sz w:val="24"/>
          <w:szCs w:val="24"/>
          <w:rtl/>
        </w:rPr>
        <w:t xml:space="preserve"> </w:t>
      </w:r>
      <w:r w:rsidRPr="00270B95">
        <w:rPr>
          <w:rStyle w:val="default"/>
          <w:rFonts w:cs="David" w:hint="cs"/>
          <w:sz w:val="24"/>
          <w:szCs w:val="24"/>
          <w:rtl/>
        </w:rPr>
        <w:t>יש ביסוס לחשש כי בחינת בקשת הפטנט לפי סדר ההגשה תגרום למגיש הבקשה לבחינה על-אתר לפי סעיף קטן זה, העוסק בתחום האמצאה, לדחות פיתוח או ייצור של מוצר או תהליך הנתבע בבקשת הפטנט</w:t>
      </w:r>
      <w:r w:rsidRPr="00270B95">
        <w:rPr>
          <w:rFonts w:cs="David" w:hint="cs"/>
          <w:sz w:val="24"/>
          <w:szCs w:val="24"/>
          <w:rtl/>
        </w:rPr>
        <w:t xml:space="preserve">; </w:t>
      </w:r>
      <w:r w:rsidRPr="00270B95">
        <w:rPr>
          <w:rFonts w:cs="David" w:hint="cs"/>
          <w:b/>
          <w:bCs/>
          <w:sz w:val="24"/>
          <w:szCs w:val="24"/>
          <w:rtl/>
        </w:rPr>
        <w:t>(2)</w:t>
      </w:r>
      <w:r w:rsidRPr="00270B95">
        <w:rPr>
          <w:rFonts w:cs="David" w:hint="cs"/>
          <w:sz w:val="24"/>
          <w:szCs w:val="24"/>
          <w:rtl/>
        </w:rPr>
        <w:t xml:space="preserve"> </w:t>
      </w:r>
      <w:r w:rsidRPr="00270B95">
        <w:rPr>
          <w:rStyle w:val="default"/>
          <w:rFonts w:cs="David" w:hint="cs"/>
          <w:sz w:val="24"/>
          <w:szCs w:val="24"/>
          <w:rtl/>
        </w:rPr>
        <w:t>חלוף הזמן מאז הוגשה הבקשה לרשות לפי סעיף 15 או מיום כניסתה לשלב הלאומי לפי סעיף 48ד ארוך באופן בלתי סביר, ובכלל זה ארוך באופן משמעותי לעומת המועד שחלף עד לתחילת הבחינה של בקשות אחרות מאותו סוג</w:t>
      </w:r>
      <w:r w:rsidRPr="00270B95">
        <w:rPr>
          <w:rFonts w:cs="David" w:hint="cs"/>
          <w:sz w:val="24"/>
          <w:szCs w:val="24"/>
          <w:rtl/>
        </w:rPr>
        <w:t xml:space="preserve">; </w:t>
      </w:r>
      <w:r w:rsidRPr="00270B95">
        <w:rPr>
          <w:rFonts w:cs="David" w:hint="cs"/>
          <w:b/>
          <w:bCs/>
          <w:sz w:val="24"/>
          <w:szCs w:val="24"/>
          <w:rtl/>
        </w:rPr>
        <w:t>(3)</w:t>
      </w:r>
      <w:r w:rsidRPr="00270B95">
        <w:rPr>
          <w:rFonts w:cs="David" w:hint="cs"/>
          <w:sz w:val="24"/>
          <w:szCs w:val="24"/>
          <w:rtl/>
        </w:rPr>
        <w:t xml:space="preserve"> </w:t>
      </w:r>
      <w:r w:rsidRPr="00270B95">
        <w:rPr>
          <w:rStyle w:val="default"/>
          <w:rFonts w:cs="David" w:hint="cs"/>
          <w:sz w:val="24"/>
          <w:szCs w:val="24"/>
          <w:rtl/>
        </w:rPr>
        <w:t>טובת הציבור</w:t>
      </w:r>
      <w:r w:rsidRPr="00270B95">
        <w:rPr>
          <w:rFonts w:cs="David" w:hint="cs"/>
          <w:sz w:val="24"/>
          <w:szCs w:val="24"/>
          <w:rtl/>
        </w:rPr>
        <w:t xml:space="preserve">; </w:t>
      </w:r>
      <w:r w:rsidRPr="00270B95">
        <w:rPr>
          <w:rFonts w:cs="David" w:hint="cs"/>
          <w:b/>
          <w:bCs/>
          <w:sz w:val="24"/>
          <w:szCs w:val="24"/>
          <w:rtl/>
        </w:rPr>
        <w:t>(4)</w:t>
      </w:r>
      <w:r w:rsidRPr="00270B95">
        <w:rPr>
          <w:rFonts w:cs="David" w:hint="cs"/>
          <w:sz w:val="24"/>
          <w:szCs w:val="24"/>
          <w:rtl/>
        </w:rPr>
        <w:t xml:space="preserve"> </w:t>
      </w:r>
      <w:r w:rsidRPr="00270B95">
        <w:rPr>
          <w:rStyle w:val="default"/>
          <w:rFonts w:cs="David" w:hint="cs"/>
          <w:sz w:val="24"/>
          <w:szCs w:val="24"/>
          <w:rtl/>
        </w:rPr>
        <w:t>יש נסיבות מיוחדות המצדיקות</w:t>
      </w:r>
      <w:r>
        <w:rPr>
          <w:rFonts w:cs="David" w:hint="cs"/>
          <w:sz w:val="24"/>
          <w:szCs w:val="24"/>
          <w:rtl/>
        </w:rPr>
        <w:t>.</w:t>
      </w:r>
    </w:p>
    <w:p w:rsidR="00B12E4D" w:rsidRDefault="00B12E4D" w:rsidP="009750BC">
      <w:pPr>
        <w:pStyle w:val="a6"/>
        <w:numPr>
          <w:ilvl w:val="0"/>
          <w:numId w:val="12"/>
        </w:numPr>
        <w:jc w:val="both"/>
        <w:rPr>
          <w:rFonts w:cs="David"/>
          <w:sz w:val="24"/>
          <w:szCs w:val="24"/>
        </w:rPr>
      </w:pPr>
      <w:r>
        <w:rPr>
          <w:rFonts w:cs="David" w:hint="cs"/>
          <w:sz w:val="24"/>
          <w:szCs w:val="24"/>
          <w:rtl/>
        </w:rPr>
        <w:t xml:space="preserve">בשלב השני, אם </w:t>
      </w:r>
      <w:r w:rsidR="009750BC">
        <w:rPr>
          <w:rFonts w:cs="David" w:hint="cs"/>
          <w:sz w:val="24"/>
          <w:szCs w:val="24"/>
          <w:rtl/>
        </w:rPr>
        <w:t>יוחלט על הקדמת הבחינה</w:t>
      </w:r>
      <w:r>
        <w:rPr>
          <w:rFonts w:cs="David" w:hint="cs"/>
          <w:sz w:val="24"/>
          <w:szCs w:val="24"/>
          <w:rtl/>
        </w:rPr>
        <w:t xml:space="preserve">, </w:t>
      </w:r>
      <w:r w:rsidR="009750BC">
        <w:rPr>
          <w:rFonts w:cs="David" w:hint="cs"/>
          <w:sz w:val="24"/>
          <w:szCs w:val="24"/>
          <w:rtl/>
        </w:rPr>
        <w:t>תיערך</w:t>
      </w:r>
      <w:r w:rsidR="00287695">
        <w:rPr>
          <w:rFonts w:cs="David" w:hint="cs"/>
          <w:sz w:val="24"/>
          <w:szCs w:val="24"/>
          <w:rtl/>
        </w:rPr>
        <w:t xml:space="preserve"> </w:t>
      </w:r>
      <w:r w:rsidR="00287695" w:rsidRPr="00287695">
        <w:rPr>
          <w:rFonts w:cs="David" w:hint="cs"/>
          <w:b/>
          <w:bCs/>
          <w:sz w:val="24"/>
          <w:szCs w:val="24"/>
          <w:rtl/>
        </w:rPr>
        <w:t>הבחינה עצמה</w:t>
      </w:r>
      <w:r w:rsidR="00287695">
        <w:rPr>
          <w:rFonts w:cs="David" w:hint="cs"/>
          <w:sz w:val="24"/>
          <w:szCs w:val="24"/>
          <w:rtl/>
        </w:rPr>
        <w:t xml:space="preserve"> של בקשת הפטנט. </w:t>
      </w:r>
    </w:p>
    <w:p w:rsidR="00D9533A" w:rsidRDefault="00D9533A" w:rsidP="00013332">
      <w:pPr>
        <w:jc w:val="both"/>
        <w:rPr>
          <w:rFonts w:cs="David"/>
          <w:sz w:val="24"/>
          <w:szCs w:val="24"/>
          <w:rtl/>
        </w:rPr>
      </w:pPr>
      <w:r>
        <w:rPr>
          <w:rFonts w:cs="David" w:hint="cs"/>
          <w:sz w:val="24"/>
          <w:szCs w:val="24"/>
          <w:rtl/>
        </w:rPr>
        <w:t>תיקון מס' 10 האמור</w:t>
      </w:r>
      <w:r w:rsidR="00B12E4D">
        <w:rPr>
          <w:rFonts w:cs="David" w:hint="cs"/>
          <w:sz w:val="24"/>
          <w:szCs w:val="24"/>
          <w:rtl/>
        </w:rPr>
        <w:t xml:space="preserve"> מאפשר</w:t>
      </w:r>
      <w:r>
        <w:rPr>
          <w:rFonts w:cs="David" w:hint="cs"/>
          <w:sz w:val="24"/>
          <w:szCs w:val="24"/>
          <w:rtl/>
        </w:rPr>
        <w:t xml:space="preserve"> </w:t>
      </w:r>
      <w:r w:rsidR="00B12E4D" w:rsidRPr="00287695">
        <w:rPr>
          <w:rFonts w:cs="David" w:hint="cs"/>
          <w:b/>
          <w:bCs/>
          <w:sz w:val="24"/>
          <w:szCs w:val="24"/>
          <w:rtl/>
        </w:rPr>
        <w:t>גביית אגרה נפרדת עבור כל אחד מהשלבים</w:t>
      </w:r>
      <w:r w:rsidR="00B12E4D">
        <w:rPr>
          <w:rFonts w:cs="David" w:hint="cs"/>
          <w:sz w:val="24"/>
          <w:szCs w:val="24"/>
          <w:rtl/>
        </w:rPr>
        <w:t xml:space="preserve">. </w:t>
      </w:r>
      <w:r>
        <w:rPr>
          <w:rFonts w:cs="David" w:hint="cs"/>
          <w:sz w:val="24"/>
          <w:szCs w:val="24"/>
          <w:rtl/>
        </w:rPr>
        <w:t xml:space="preserve">ואולם, מאז שנת </w:t>
      </w:r>
      <w:r w:rsidR="005F13A5">
        <w:rPr>
          <w:rFonts w:cs="David" w:hint="cs"/>
          <w:sz w:val="24"/>
          <w:szCs w:val="24"/>
          <w:rtl/>
        </w:rPr>
        <w:t>2012 לא הותאמה גביית האגרה</w:t>
      </w:r>
      <w:r>
        <w:rPr>
          <w:rFonts w:cs="David" w:hint="cs"/>
          <w:sz w:val="24"/>
          <w:szCs w:val="24"/>
          <w:rtl/>
        </w:rPr>
        <w:t xml:space="preserve"> לתיקון לחוק, והאגרה נותרה כפי שהיתה </w:t>
      </w:r>
      <w:r>
        <w:rPr>
          <w:rFonts w:cs="David"/>
          <w:sz w:val="24"/>
          <w:szCs w:val="24"/>
          <w:rtl/>
        </w:rPr>
        <w:t>–</w:t>
      </w:r>
      <w:r w:rsidR="00563A1F">
        <w:rPr>
          <w:rFonts w:cs="David" w:hint="cs"/>
          <w:sz w:val="24"/>
          <w:szCs w:val="24"/>
          <w:rtl/>
        </w:rPr>
        <w:t xml:space="preserve"> </w:t>
      </w:r>
      <w:r w:rsidR="00563A1F" w:rsidRPr="00FE5D4B">
        <w:rPr>
          <w:rFonts w:cs="David" w:hint="cs"/>
          <w:b/>
          <w:bCs/>
          <w:sz w:val="24"/>
          <w:szCs w:val="24"/>
          <w:rtl/>
        </w:rPr>
        <w:t>אגרה חד-שלבית בסך 1,015 ש"ח</w:t>
      </w:r>
      <w:r>
        <w:rPr>
          <w:rFonts w:cs="David" w:hint="cs"/>
          <w:sz w:val="24"/>
          <w:szCs w:val="24"/>
          <w:rtl/>
        </w:rPr>
        <w:t xml:space="preserve"> </w:t>
      </w:r>
      <w:r w:rsidR="00563A1F">
        <w:rPr>
          <w:rFonts w:cs="David" w:hint="cs"/>
          <w:sz w:val="24"/>
          <w:szCs w:val="24"/>
          <w:rtl/>
        </w:rPr>
        <w:t>עבור הגשת הבקשה</w:t>
      </w:r>
      <w:r w:rsidR="009750BC">
        <w:rPr>
          <w:rFonts w:cs="David" w:hint="cs"/>
          <w:sz w:val="24"/>
          <w:szCs w:val="24"/>
          <w:rtl/>
        </w:rPr>
        <w:t xml:space="preserve"> בלבד</w:t>
      </w:r>
      <w:r w:rsidR="00563A1F">
        <w:rPr>
          <w:rFonts w:cs="David" w:hint="cs"/>
          <w:sz w:val="24"/>
          <w:szCs w:val="24"/>
          <w:rtl/>
        </w:rPr>
        <w:t xml:space="preserve">. </w:t>
      </w:r>
      <w:r>
        <w:rPr>
          <w:rFonts w:cs="David" w:hint="cs"/>
          <w:sz w:val="24"/>
          <w:szCs w:val="24"/>
          <w:rtl/>
        </w:rPr>
        <w:t>ראו פרט 8 לתוספת השנייה בתקנות:</w:t>
      </w:r>
    </w:p>
    <w:p w:rsidR="00D9533A" w:rsidRDefault="000A6916" w:rsidP="00D9533A">
      <w:pPr>
        <w:pStyle w:val="P03"/>
        <w:tabs>
          <w:tab w:val="clear" w:pos="1474"/>
          <w:tab w:val="clear" w:pos="1928"/>
          <w:tab w:val="clear" w:pos="2381"/>
          <w:tab w:val="clear" w:pos="2835"/>
          <w:tab w:val="clear" w:pos="6259"/>
          <w:tab w:val="center" w:pos="7088"/>
        </w:tabs>
        <w:spacing w:before="72"/>
        <w:ind w:left="624" w:right="2977" w:hanging="624"/>
        <w:rPr>
          <w:rStyle w:val="default"/>
          <w:rFonts w:cs="FrankRuehl"/>
          <w:rtl/>
        </w:rPr>
      </w:pPr>
      <w:r>
        <w:rPr>
          <w:rStyle w:val="default"/>
          <w:rFonts w:cs="FrankRuehl" w:hint="cs"/>
          <w:rtl/>
        </w:rPr>
        <w:t>"</w:t>
      </w:r>
      <w:r w:rsidR="00D9533A">
        <w:rPr>
          <w:rStyle w:val="default"/>
          <w:rFonts w:cs="FrankRuehl" w:hint="cs"/>
          <w:rtl/>
        </w:rPr>
        <w:t>8</w:t>
      </w:r>
      <w:r w:rsidR="00D9533A">
        <w:rPr>
          <w:rStyle w:val="default"/>
          <w:rFonts w:cs="FrankRuehl"/>
          <w:rtl/>
        </w:rPr>
        <w:t>.</w:t>
      </w:r>
      <w:r w:rsidR="00D9533A">
        <w:rPr>
          <w:rStyle w:val="default"/>
          <w:rFonts w:cs="FrankRuehl"/>
          <w:rtl/>
        </w:rPr>
        <w:tab/>
        <w:t>ע</w:t>
      </w:r>
      <w:r w:rsidR="00D9533A">
        <w:rPr>
          <w:rStyle w:val="default"/>
          <w:rFonts w:cs="FrankRuehl" w:hint="cs"/>
          <w:rtl/>
        </w:rPr>
        <w:t>ם הגשת בקשה להקדמת בחינה של בקשת פטנט, לפי תקנה 35(א), למעט בקשות כאמור המוגשות לפי סעיף 19א(א)(1) ו-19א(א)(2) לחוק</w:t>
      </w:r>
      <w:r w:rsidR="00D9533A">
        <w:rPr>
          <w:rStyle w:val="default"/>
          <w:rFonts w:cs="FrankRuehl"/>
          <w:rtl/>
        </w:rPr>
        <w:tab/>
      </w:r>
      <w:r w:rsidR="00D9533A">
        <w:rPr>
          <w:rStyle w:val="default"/>
          <w:rFonts w:cs="FrankRuehl" w:hint="cs"/>
          <w:rtl/>
        </w:rPr>
        <w:t>1,015</w:t>
      </w:r>
      <w:r>
        <w:rPr>
          <w:rStyle w:val="default"/>
          <w:rFonts w:cs="FrankRuehl" w:hint="cs"/>
          <w:rtl/>
        </w:rPr>
        <w:t>"</w:t>
      </w:r>
    </w:p>
    <w:p w:rsidR="009750BC" w:rsidRDefault="009750BC" w:rsidP="009750BC">
      <w:pPr>
        <w:spacing w:after="0"/>
        <w:jc w:val="both"/>
        <w:rPr>
          <w:rFonts w:cs="David"/>
          <w:sz w:val="24"/>
          <w:szCs w:val="24"/>
          <w:rtl/>
        </w:rPr>
      </w:pPr>
    </w:p>
    <w:p w:rsidR="00064EB0" w:rsidRDefault="005017FA" w:rsidP="00A54E2C">
      <w:pPr>
        <w:jc w:val="both"/>
        <w:rPr>
          <w:rFonts w:cs="David"/>
          <w:sz w:val="24"/>
          <w:szCs w:val="24"/>
          <w:rtl/>
        </w:rPr>
      </w:pPr>
      <w:r>
        <w:rPr>
          <w:rFonts w:cs="David" w:hint="cs"/>
          <w:sz w:val="24"/>
          <w:szCs w:val="24"/>
          <w:rtl/>
        </w:rPr>
        <w:t>מ</w:t>
      </w:r>
      <w:r w:rsidR="009750BC">
        <w:rPr>
          <w:rFonts w:cs="David" w:hint="cs"/>
          <w:sz w:val="24"/>
          <w:szCs w:val="24"/>
          <w:rtl/>
        </w:rPr>
        <w:t>רשות הפטנטים</w:t>
      </w:r>
      <w:r>
        <w:rPr>
          <w:rFonts w:cs="David" w:hint="cs"/>
          <w:sz w:val="24"/>
          <w:szCs w:val="24"/>
          <w:rtl/>
        </w:rPr>
        <w:t xml:space="preserve"> נמסר</w:t>
      </w:r>
      <w:r w:rsidR="009750BC">
        <w:rPr>
          <w:rFonts w:cs="David" w:hint="cs"/>
          <w:sz w:val="24"/>
          <w:szCs w:val="24"/>
          <w:rtl/>
        </w:rPr>
        <w:t xml:space="preserve">, </w:t>
      </w:r>
      <w:r>
        <w:rPr>
          <w:rFonts w:cs="David" w:hint="cs"/>
          <w:sz w:val="24"/>
          <w:szCs w:val="24"/>
          <w:rtl/>
        </w:rPr>
        <w:t xml:space="preserve">כי </w:t>
      </w:r>
      <w:r w:rsidR="009750BC">
        <w:rPr>
          <w:rFonts w:cs="David" w:hint="cs"/>
          <w:sz w:val="24"/>
          <w:szCs w:val="24"/>
          <w:rtl/>
        </w:rPr>
        <w:t xml:space="preserve">מאז תיקון מס' 10 לחוק </w:t>
      </w:r>
      <w:r w:rsidR="00B81ED7">
        <w:rPr>
          <w:rFonts w:cs="David" w:hint="cs"/>
          <w:sz w:val="24"/>
          <w:szCs w:val="24"/>
          <w:rtl/>
        </w:rPr>
        <w:t>הוגשה רק</w:t>
      </w:r>
      <w:r w:rsidR="009750BC">
        <w:rPr>
          <w:rFonts w:cs="David" w:hint="cs"/>
          <w:sz w:val="24"/>
          <w:szCs w:val="24"/>
          <w:rtl/>
        </w:rPr>
        <w:t xml:space="preserve"> בקש</w:t>
      </w:r>
      <w:r w:rsidR="00B81ED7">
        <w:rPr>
          <w:rFonts w:cs="David" w:hint="cs"/>
          <w:sz w:val="24"/>
          <w:szCs w:val="24"/>
          <w:rtl/>
        </w:rPr>
        <w:t>ה אחת</w:t>
      </w:r>
      <w:r w:rsidR="009750BC">
        <w:rPr>
          <w:rFonts w:cs="David" w:hint="cs"/>
          <w:sz w:val="24"/>
          <w:szCs w:val="24"/>
          <w:rtl/>
        </w:rPr>
        <w:t xml:space="preserve"> להקדמת בחינה על ידי צד שלישי. </w:t>
      </w:r>
      <w:r>
        <w:rPr>
          <w:rFonts w:cs="David" w:hint="cs"/>
          <w:sz w:val="24"/>
          <w:szCs w:val="24"/>
          <w:rtl/>
        </w:rPr>
        <w:t xml:space="preserve">לפי נתוני </w:t>
      </w:r>
      <w:r w:rsidR="009E0B85">
        <w:rPr>
          <w:rFonts w:cs="David" w:hint="cs"/>
          <w:sz w:val="24"/>
          <w:szCs w:val="24"/>
          <w:rtl/>
        </w:rPr>
        <w:t>הרשות ל</w:t>
      </w:r>
      <w:r>
        <w:rPr>
          <w:rFonts w:cs="David" w:hint="cs"/>
          <w:sz w:val="24"/>
          <w:szCs w:val="24"/>
          <w:rtl/>
        </w:rPr>
        <w:t xml:space="preserve">שנת 2013, </w:t>
      </w:r>
      <w:r w:rsidR="009750BC">
        <w:rPr>
          <w:rFonts w:cs="David" w:hint="cs"/>
          <w:sz w:val="24"/>
          <w:szCs w:val="24"/>
          <w:rtl/>
        </w:rPr>
        <w:t>מתוך כ-</w:t>
      </w:r>
      <w:r w:rsidR="00830D4E">
        <w:rPr>
          <w:rFonts w:cs="David" w:hint="cs"/>
          <w:sz w:val="24"/>
          <w:szCs w:val="24"/>
          <w:rtl/>
        </w:rPr>
        <w:t>6</w:t>
      </w:r>
      <w:r w:rsidR="009750BC">
        <w:rPr>
          <w:rFonts w:cs="David" w:hint="cs"/>
          <w:sz w:val="24"/>
          <w:szCs w:val="24"/>
          <w:rtl/>
        </w:rPr>
        <w:t xml:space="preserve">,000 </w:t>
      </w:r>
      <w:r w:rsidR="00830D4E">
        <w:rPr>
          <w:rFonts w:cs="David" w:hint="cs"/>
          <w:sz w:val="24"/>
          <w:szCs w:val="24"/>
          <w:rtl/>
        </w:rPr>
        <w:t xml:space="preserve">עד 7,000 </w:t>
      </w:r>
      <w:r w:rsidR="009750BC">
        <w:rPr>
          <w:rFonts w:cs="David" w:hint="cs"/>
          <w:sz w:val="24"/>
          <w:szCs w:val="24"/>
          <w:rtl/>
        </w:rPr>
        <w:t xml:space="preserve">בקשות לפטנט </w:t>
      </w:r>
      <w:r w:rsidR="00830D4E">
        <w:rPr>
          <w:rFonts w:cs="David" w:hint="cs"/>
          <w:sz w:val="24"/>
          <w:szCs w:val="24"/>
          <w:rtl/>
        </w:rPr>
        <w:t xml:space="preserve">שהוגשו </w:t>
      </w:r>
      <w:r w:rsidR="009750BC">
        <w:rPr>
          <w:rFonts w:cs="David" w:hint="cs"/>
          <w:sz w:val="24"/>
          <w:szCs w:val="24"/>
          <w:rtl/>
        </w:rPr>
        <w:t>בשנים 2010 עד 2013</w:t>
      </w:r>
      <w:r w:rsidR="00830D4E">
        <w:rPr>
          <w:rFonts w:cs="David" w:hint="cs"/>
          <w:sz w:val="24"/>
          <w:szCs w:val="24"/>
          <w:rtl/>
        </w:rPr>
        <w:t>,</w:t>
      </w:r>
      <w:r w:rsidR="009750BC">
        <w:rPr>
          <w:rFonts w:cs="David" w:hint="cs"/>
          <w:sz w:val="24"/>
          <w:szCs w:val="24"/>
          <w:rtl/>
        </w:rPr>
        <w:t xml:space="preserve"> הוגשו בקשות להקדמה לפי החלוקה הבאה: בשנת 2010 </w:t>
      </w:r>
      <w:r w:rsidR="009750BC">
        <w:rPr>
          <w:rFonts w:cs="David"/>
          <w:sz w:val="24"/>
          <w:szCs w:val="24"/>
          <w:rtl/>
        </w:rPr>
        <w:t>–</w:t>
      </w:r>
      <w:r w:rsidR="009750BC">
        <w:rPr>
          <w:rFonts w:cs="David" w:hint="cs"/>
          <w:sz w:val="24"/>
          <w:szCs w:val="24"/>
          <w:rtl/>
        </w:rPr>
        <w:t xml:space="preserve"> 54 בקשות; בשנת 2011 </w:t>
      </w:r>
      <w:r w:rsidR="009750BC">
        <w:rPr>
          <w:rFonts w:cs="David"/>
          <w:sz w:val="24"/>
          <w:szCs w:val="24"/>
          <w:rtl/>
        </w:rPr>
        <w:t>–</w:t>
      </w:r>
      <w:r w:rsidR="009750BC">
        <w:rPr>
          <w:rFonts w:cs="David" w:hint="cs"/>
          <w:sz w:val="24"/>
          <w:szCs w:val="24"/>
          <w:rtl/>
        </w:rPr>
        <w:t xml:space="preserve"> 103 בקשות; בשנת 2012 </w:t>
      </w:r>
      <w:r w:rsidR="009750BC">
        <w:rPr>
          <w:rFonts w:cs="David"/>
          <w:sz w:val="24"/>
          <w:szCs w:val="24"/>
          <w:rtl/>
        </w:rPr>
        <w:t>–</w:t>
      </w:r>
      <w:r w:rsidR="009750BC">
        <w:rPr>
          <w:rFonts w:cs="David" w:hint="cs"/>
          <w:sz w:val="24"/>
          <w:szCs w:val="24"/>
          <w:rtl/>
        </w:rPr>
        <w:t xml:space="preserve"> 115 בקשות ובשנת 2013 </w:t>
      </w:r>
      <w:r w:rsidR="009750BC">
        <w:rPr>
          <w:rFonts w:cs="David"/>
          <w:sz w:val="24"/>
          <w:szCs w:val="24"/>
          <w:rtl/>
        </w:rPr>
        <w:t>–</w:t>
      </w:r>
      <w:r w:rsidR="009750BC">
        <w:rPr>
          <w:rFonts w:cs="David" w:hint="cs"/>
          <w:sz w:val="24"/>
          <w:szCs w:val="24"/>
          <w:rtl/>
        </w:rPr>
        <w:t xml:space="preserve"> 130 בקשות.</w:t>
      </w:r>
      <w:r>
        <w:rPr>
          <w:rStyle w:val="a5"/>
          <w:rFonts w:cs="David"/>
          <w:sz w:val="24"/>
          <w:szCs w:val="24"/>
          <w:rtl/>
        </w:rPr>
        <w:footnoteReference w:id="5"/>
      </w:r>
    </w:p>
    <w:p w:rsidR="00013332" w:rsidRDefault="00013332" w:rsidP="00287695">
      <w:pPr>
        <w:jc w:val="both"/>
        <w:rPr>
          <w:rFonts w:cs="David"/>
          <w:sz w:val="24"/>
          <w:szCs w:val="24"/>
          <w:u w:val="single"/>
          <w:rtl/>
        </w:rPr>
      </w:pPr>
    </w:p>
    <w:p w:rsidR="005F13A5" w:rsidRPr="005F13A5" w:rsidRDefault="005F13A5" w:rsidP="00287695">
      <w:pPr>
        <w:jc w:val="both"/>
        <w:rPr>
          <w:rFonts w:cs="David"/>
          <w:sz w:val="24"/>
          <w:szCs w:val="24"/>
          <w:u w:val="single"/>
          <w:rtl/>
        </w:rPr>
      </w:pPr>
      <w:r w:rsidRPr="005F13A5">
        <w:rPr>
          <w:rFonts w:cs="David" w:hint="cs"/>
          <w:sz w:val="24"/>
          <w:szCs w:val="24"/>
          <w:u w:val="single"/>
          <w:rtl/>
        </w:rPr>
        <w:lastRenderedPageBreak/>
        <w:t>התיקון המוצע</w:t>
      </w:r>
    </w:p>
    <w:p w:rsidR="005F13A5" w:rsidRDefault="004F1150" w:rsidP="00345FC4">
      <w:pPr>
        <w:jc w:val="both"/>
        <w:rPr>
          <w:rFonts w:cs="David"/>
          <w:sz w:val="24"/>
          <w:szCs w:val="24"/>
          <w:rtl/>
        </w:rPr>
      </w:pPr>
      <w:r>
        <w:rPr>
          <w:rFonts w:cs="David" w:hint="cs"/>
          <w:sz w:val="24"/>
          <w:szCs w:val="24"/>
          <w:rtl/>
        </w:rPr>
        <w:t xml:space="preserve">מוצע </w:t>
      </w:r>
      <w:r w:rsidR="00345FC4">
        <w:rPr>
          <w:rFonts w:cs="David" w:hint="cs"/>
          <w:sz w:val="24"/>
          <w:szCs w:val="24"/>
          <w:rtl/>
        </w:rPr>
        <w:t>לקבוע אגרה דו-שלבית: סכום אחד שישולם ב</w:t>
      </w:r>
      <w:r w:rsidR="00345FC4" w:rsidRPr="005F13A5">
        <w:rPr>
          <w:rFonts w:cs="David" w:hint="cs"/>
          <w:sz w:val="24"/>
          <w:szCs w:val="24"/>
          <w:rtl/>
        </w:rPr>
        <w:t xml:space="preserve">שלב הראשון של </w:t>
      </w:r>
      <w:r w:rsidR="00345FC4">
        <w:rPr>
          <w:rFonts w:cs="David" w:hint="cs"/>
          <w:sz w:val="24"/>
          <w:szCs w:val="24"/>
          <w:rtl/>
        </w:rPr>
        <w:t xml:space="preserve">בחינת הזכאות </w:t>
      </w:r>
      <w:r w:rsidR="00345FC4" w:rsidRPr="005F13A5">
        <w:rPr>
          <w:rFonts w:cs="David" w:hint="cs"/>
          <w:sz w:val="24"/>
          <w:szCs w:val="24"/>
          <w:rtl/>
        </w:rPr>
        <w:t xml:space="preserve">להקדמת בחינה </w:t>
      </w:r>
      <w:r w:rsidR="00345FC4">
        <w:rPr>
          <w:rFonts w:cs="David" w:hint="cs"/>
          <w:sz w:val="24"/>
          <w:szCs w:val="24"/>
          <w:rtl/>
        </w:rPr>
        <w:t>וסכום נוסף</w:t>
      </w:r>
      <w:r w:rsidR="00345FC4" w:rsidRPr="005F13A5">
        <w:rPr>
          <w:rFonts w:cs="David" w:hint="cs"/>
          <w:sz w:val="24"/>
          <w:szCs w:val="24"/>
          <w:rtl/>
        </w:rPr>
        <w:t xml:space="preserve"> </w:t>
      </w:r>
      <w:r w:rsidR="00345FC4">
        <w:rPr>
          <w:rFonts w:cs="David" w:hint="cs"/>
          <w:sz w:val="24"/>
          <w:szCs w:val="24"/>
          <w:rtl/>
        </w:rPr>
        <w:t>שישולם ב</w:t>
      </w:r>
      <w:r w:rsidR="00345FC4" w:rsidRPr="005F13A5">
        <w:rPr>
          <w:rFonts w:cs="David" w:hint="cs"/>
          <w:sz w:val="24"/>
          <w:szCs w:val="24"/>
          <w:rtl/>
        </w:rPr>
        <w:t>שלב השני, עבור בחינת הפטנט המוקדמת</w:t>
      </w:r>
      <w:r w:rsidR="00345FC4">
        <w:rPr>
          <w:rFonts w:cs="David" w:hint="cs"/>
          <w:sz w:val="24"/>
          <w:szCs w:val="24"/>
          <w:rtl/>
        </w:rPr>
        <w:t xml:space="preserve">. </w:t>
      </w:r>
      <w:r w:rsidR="005F13A5">
        <w:rPr>
          <w:rFonts w:cs="David" w:hint="cs"/>
          <w:sz w:val="24"/>
          <w:szCs w:val="24"/>
          <w:rtl/>
        </w:rPr>
        <w:t>כן מוצע, כי תיקבע אגרה שונה עבור בקשות להקדמת בחינה של מבקש הפטנט, ובקשות</w:t>
      </w:r>
      <w:r w:rsidR="00345FC4">
        <w:rPr>
          <w:rFonts w:cs="David" w:hint="cs"/>
          <w:sz w:val="24"/>
          <w:szCs w:val="24"/>
          <w:rtl/>
        </w:rPr>
        <w:t xml:space="preserve"> להקדמת בחינה של צד שלישי.</w:t>
      </w:r>
    </w:p>
    <w:tbl>
      <w:tblPr>
        <w:tblStyle w:val="ab"/>
        <w:bidiVisual/>
        <w:tblW w:w="0" w:type="auto"/>
        <w:tblInd w:w="-209" w:type="dxa"/>
        <w:tblLook w:val="04A0" w:firstRow="1" w:lastRow="0" w:firstColumn="1" w:lastColumn="0" w:noHBand="0" w:noVBand="1"/>
      </w:tblPr>
      <w:tblGrid>
        <w:gridCol w:w="2300"/>
        <w:gridCol w:w="2102"/>
        <w:gridCol w:w="2199"/>
        <w:gridCol w:w="1904"/>
      </w:tblGrid>
      <w:tr w:rsidR="00EF6845" w:rsidTr="00345FC4">
        <w:tc>
          <w:tcPr>
            <w:tcW w:w="2300" w:type="dxa"/>
            <w:tcBorders>
              <w:bottom w:val="single" w:sz="4" w:space="0" w:color="auto"/>
              <w:tr2bl w:val="single" w:sz="4" w:space="0" w:color="auto"/>
            </w:tcBorders>
            <w:shd w:val="clear" w:color="auto" w:fill="D9D9D9" w:themeFill="background1" w:themeFillShade="D9"/>
          </w:tcPr>
          <w:p w:rsidR="00345FC4" w:rsidRDefault="00345FC4" w:rsidP="00EF6845">
            <w:pPr>
              <w:jc w:val="center"/>
              <w:rPr>
                <w:rFonts w:cs="David"/>
                <w:sz w:val="24"/>
                <w:szCs w:val="24"/>
                <w:rtl/>
              </w:rPr>
            </w:pPr>
            <w:r>
              <w:rPr>
                <w:rFonts w:cs="David" w:hint="cs"/>
                <w:sz w:val="24"/>
                <w:szCs w:val="24"/>
                <w:rtl/>
              </w:rPr>
              <w:t xml:space="preserve">          שלב הבחינה</w:t>
            </w:r>
          </w:p>
          <w:p w:rsidR="00345FC4" w:rsidRPr="00345FC4" w:rsidRDefault="00345FC4" w:rsidP="00345FC4">
            <w:pPr>
              <w:rPr>
                <w:rFonts w:cs="David"/>
                <w:color w:val="FF0000"/>
                <w:sz w:val="24"/>
                <w:szCs w:val="24"/>
                <w:rtl/>
              </w:rPr>
            </w:pPr>
          </w:p>
          <w:p w:rsidR="00EF6845" w:rsidRDefault="00345FC4" w:rsidP="00345FC4">
            <w:pPr>
              <w:rPr>
                <w:rFonts w:cs="David"/>
                <w:sz w:val="24"/>
                <w:szCs w:val="24"/>
                <w:rtl/>
              </w:rPr>
            </w:pPr>
            <w:r>
              <w:rPr>
                <w:rFonts w:cs="David" w:hint="cs"/>
                <w:sz w:val="24"/>
                <w:szCs w:val="24"/>
                <w:rtl/>
              </w:rPr>
              <w:t>זהות המבקש</w:t>
            </w:r>
          </w:p>
        </w:tc>
        <w:tc>
          <w:tcPr>
            <w:tcW w:w="2102" w:type="dxa"/>
            <w:shd w:val="clear" w:color="auto" w:fill="D9D9D9" w:themeFill="background1" w:themeFillShade="D9"/>
          </w:tcPr>
          <w:p w:rsidR="00EF6845" w:rsidRDefault="00345FC4" w:rsidP="00EF6845">
            <w:pPr>
              <w:jc w:val="center"/>
              <w:rPr>
                <w:rFonts w:cs="David"/>
                <w:sz w:val="24"/>
                <w:szCs w:val="24"/>
                <w:rtl/>
              </w:rPr>
            </w:pPr>
            <w:r>
              <w:rPr>
                <w:rFonts w:cs="David" w:hint="cs"/>
                <w:sz w:val="24"/>
                <w:szCs w:val="24"/>
                <w:rtl/>
              </w:rPr>
              <w:t>אגרה בעת הגשת הבקשה להקדמת בחינה</w:t>
            </w:r>
          </w:p>
        </w:tc>
        <w:tc>
          <w:tcPr>
            <w:tcW w:w="2199" w:type="dxa"/>
            <w:shd w:val="clear" w:color="auto" w:fill="D9D9D9" w:themeFill="background1" w:themeFillShade="D9"/>
          </w:tcPr>
          <w:p w:rsidR="00EF6845" w:rsidRDefault="00EF6845" w:rsidP="00EF6845">
            <w:pPr>
              <w:jc w:val="both"/>
              <w:rPr>
                <w:rFonts w:cs="David"/>
                <w:sz w:val="24"/>
                <w:szCs w:val="24"/>
                <w:rtl/>
              </w:rPr>
            </w:pPr>
            <w:r>
              <w:rPr>
                <w:rFonts w:cs="David" w:hint="cs"/>
                <w:sz w:val="24"/>
                <w:szCs w:val="24"/>
                <w:rtl/>
              </w:rPr>
              <w:t>אגרה עבור הבחינה המוקדמת אם הוחלט על זכאות לכך</w:t>
            </w:r>
          </w:p>
        </w:tc>
        <w:tc>
          <w:tcPr>
            <w:tcW w:w="1904" w:type="dxa"/>
            <w:shd w:val="clear" w:color="auto" w:fill="D9D9D9" w:themeFill="background1" w:themeFillShade="D9"/>
          </w:tcPr>
          <w:p w:rsidR="00EF6845" w:rsidRPr="00F039D3" w:rsidRDefault="00EF6845" w:rsidP="00EF6845">
            <w:pPr>
              <w:jc w:val="center"/>
              <w:rPr>
                <w:rFonts w:cs="David"/>
                <w:b/>
                <w:bCs/>
                <w:sz w:val="24"/>
                <w:szCs w:val="24"/>
                <w:rtl/>
              </w:rPr>
            </w:pPr>
            <w:r w:rsidRPr="00F039D3">
              <w:rPr>
                <w:rFonts w:cs="David" w:hint="cs"/>
                <w:b/>
                <w:bCs/>
                <w:sz w:val="24"/>
                <w:szCs w:val="24"/>
                <w:rtl/>
              </w:rPr>
              <w:t>סה"כ</w:t>
            </w:r>
          </w:p>
        </w:tc>
      </w:tr>
      <w:tr w:rsidR="00EF6845" w:rsidTr="00345FC4">
        <w:tc>
          <w:tcPr>
            <w:tcW w:w="2300" w:type="dxa"/>
            <w:tcBorders>
              <w:top w:val="single" w:sz="4" w:space="0" w:color="auto"/>
            </w:tcBorders>
            <w:shd w:val="clear" w:color="auto" w:fill="D9D9D9" w:themeFill="background1" w:themeFillShade="D9"/>
          </w:tcPr>
          <w:p w:rsidR="00EF6845" w:rsidRDefault="00345FC4" w:rsidP="00345FC4">
            <w:pPr>
              <w:jc w:val="both"/>
              <w:rPr>
                <w:rFonts w:cs="David"/>
                <w:sz w:val="24"/>
                <w:szCs w:val="24"/>
                <w:rtl/>
              </w:rPr>
            </w:pPr>
            <w:r>
              <w:rPr>
                <w:rFonts w:cs="David" w:hint="cs"/>
                <w:sz w:val="24"/>
                <w:szCs w:val="24"/>
                <w:rtl/>
              </w:rPr>
              <w:t xml:space="preserve">מבקש הפטנט** </w:t>
            </w:r>
          </w:p>
        </w:tc>
        <w:tc>
          <w:tcPr>
            <w:tcW w:w="2102" w:type="dxa"/>
          </w:tcPr>
          <w:p w:rsidR="00EF6845" w:rsidRDefault="00EF6845" w:rsidP="00345FC4">
            <w:pPr>
              <w:jc w:val="center"/>
              <w:rPr>
                <w:rFonts w:cs="David"/>
                <w:sz w:val="24"/>
                <w:szCs w:val="24"/>
                <w:rtl/>
              </w:rPr>
            </w:pPr>
            <w:r>
              <w:rPr>
                <w:rFonts w:cs="David" w:hint="cs"/>
                <w:sz w:val="24"/>
                <w:szCs w:val="24"/>
                <w:rtl/>
              </w:rPr>
              <w:t>300 ש"ח</w:t>
            </w:r>
          </w:p>
        </w:tc>
        <w:tc>
          <w:tcPr>
            <w:tcW w:w="2199" w:type="dxa"/>
          </w:tcPr>
          <w:p w:rsidR="00EF6845" w:rsidRDefault="00EF6845" w:rsidP="00345FC4">
            <w:pPr>
              <w:jc w:val="center"/>
              <w:rPr>
                <w:rFonts w:cs="David"/>
                <w:sz w:val="24"/>
                <w:szCs w:val="24"/>
                <w:rtl/>
              </w:rPr>
            </w:pPr>
            <w:r>
              <w:rPr>
                <w:rFonts w:cs="David" w:hint="cs"/>
                <w:sz w:val="24"/>
                <w:szCs w:val="24"/>
                <w:rtl/>
              </w:rPr>
              <w:t xml:space="preserve">700 </w:t>
            </w:r>
            <w:r w:rsidR="00345FC4">
              <w:rPr>
                <w:rFonts w:cs="David" w:hint="cs"/>
                <w:sz w:val="24"/>
                <w:szCs w:val="24"/>
                <w:rtl/>
              </w:rPr>
              <w:t>ש"ח</w:t>
            </w:r>
          </w:p>
        </w:tc>
        <w:tc>
          <w:tcPr>
            <w:tcW w:w="1904" w:type="dxa"/>
          </w:tcPr>
          <w:p w:rsidR="00EF6845" w:rsidRPr="00F039D3" w:rsidRDefault="00345FC4" w:rsidP="00345FC4">
            <w:pPr>
              <w:jc w:val="center"/>
              <w:rPr>
                <w:rFonts w:cs="David"/>
                <w:b/>
                <w:bCs/>
                <w:sz w:val="24"/>
                <w:szCs w:val="24"/>
                <w:rtl/>
              </w:rPr>
            </w:pPr>
            <w:r w:rsidRPr="00F039D3">
              <w:rPr>
                <w:rFonts w:cs="David" w:hint="cs"/>
                <w:b/>
                <w:bCs/>
                <w:sz w:val="24"/>
                <w:szCs w:val="24"/>
                <w:rtl/>
              </w:rPr>
              <w:t>1,000 ש"ח</w:t>
            </w:r>
          </w:p>
        </w:tc>
      </w:tr>
      <w:tr w:rsidR="00EF6845" w:rsidTr="00345FC4">
        <w:tc>
          <w:tcPr>
            <w:tcW w:w="2300" w:type="dxa"/>
            <w:shd w:val="clear" w:color="auto" w:fill="D9D9D9" w:themeFill="background1" w:themeFillShade="D9"/>
          </w:tcPr>
          <w:p w:rsidR="00EF6845" w:rsidRDefault="00EF6845" w:rsidP="00EF6845">
            <w:pPr>
              <w:jc w:val="both"/>
              <w:rPr>
                <w:rFonts w:cs="David"/>
                <w:sz w:val="24"/>
                <w:szCs w:val="24"/>
                <w:rtl/>
              </w:rPr>
            </w:pPr>
            <w:r>
              <w:rPr>
                <w:rFonts w:cs="David" w:hint="cs"/>
                <w:sz w:val="24"/>
                <w:szCs w:val="24"/>
                <w:rtl/>
              </w:rPr>
              <w:t>צד שלישי שאינו מבקש הפטנט</w:t>
            </w:r>
          </w:p>
        </w:tc>
        <w:tc>
          <w:tcPr>
            <w:tcW w:w="2102" w:type="dxa"/>
          </w:tcPr>
          <w:p w:rsidR="00EF6845" w:rsidRDefault="00EF6845" w:rsidP="00345FC4">
            <w:pPr>
              <w:jc w:val="center"/>
              <w:rPr>
                <w:rFonts w:cs="David"/>
                <w:sz w:val="24"/>
                <w:szCs w:val="24"/>
                <w:rtl/>
              </w:rPr>
            </w:pPr>
            <w:r>
              <w:rPr>
                <w:rFonts w:cs="David" w:hint="cs"/>
                <w:sz w:val="24"/>
                <w:szCs w:val="24"/>
                <w:rtl/>
              </w:rPr>
              <w:t>10,000 ש"ח</w:t>
            </w:r>
          </w:p>
        </w:tc>
        <w:tc>
          <w:tcPr>
            <w:tcW w:w="2199" w:type="dxa"/>
          </w:tcPr>
          <w:p w:rsidR="00EF6845" w:rsidRDefault="00345FC4" w:rsidP="00345FC4">
            <w:pPr>
              <w:jc w:val="center"/>
              <w:rPr>
                <w:rFonts w:cs="David"/>
                <w:sz w:val="24"/>
                <w:szCs w:val="24"/>
                <w:rtl/>
              </w:rPr>
            </w:pPr>
            <w:r>
              <w:rPr>
                <w:rFonts w:cs="David" w:hint="cs"/>
                <w:sz w:val="24"/>
                <w:szCs w:val="24"/>
                <w:rtl/>
              </w:rPr>
              <w:t>5,000 ש"ח</w:t>
            </w:r>
          </w:p>
        </w:tc>
        <w:tc>
          <w:tcPr>
            <w:tcW w:w="1904" w:type="dxa"/>
          </w:tcPr>
          <w:p w:rsidR="00EF6845" w:rsidRPr="00F039D3" w:rsidRDefault="00345FC4" w:rsidP="00345FC4">
            <w:pPr>
              <w:jc w:val="center"/>
              <w:rPr>
                <w:rFonts w:cs="David"/>
                <w:b/>
                <w:bCs/>
                <w:sz w:val="24"/>
                <w:szCs w:val="24"/>
                <w:rtl/>
              </w:rPr>
            </w:pPr>
            <w:r w:rsidRPr="00F039D3">
              <w:rPr>
                <w:rFonts w:cs="David" w:hint="cs"/>
                <w:b/>
                <w:bCs/>
                <w:sz w:val="24"/>
                <w:szCs w:val="24"/>
                <w:rtl/>
              </w:rPr>
              <w:t>15,000 ש"ח</w:t>
            </w:r>
          </w:p>
        </w:tc>
      </w:tr>
    </w:tbl>
    <w:p w:rsidR="007C2E85" w:rsidRPr="007C2E85" w:rsidRDefault="007C2E85" w:rsidP="000B2180">
      <w:pPr>
        <w:jc w:val="both"/>
        <w:rPr>
          <w:rFonts w:cs="David"/>
          <w:sz w:val="4"/>
          <w:szCs w:val="4"/>
          <w:rtl/>
        </w:rPr>
      </w:pPr>
    </w:p>
    <w:p w:rsidR="00C06AB8" w:rsidRDefault="00345FC4" w:rsidP="00702ED8">
      <w:pPr>
        <w:jc w:val="both"/>
        <w:rPr>
          <w:rFonts w:cs="David"/>
          <w:sz w:val="24"/>
          <w:szCs w:val="24"/>
          <w:rtl/>
        </w:rPr>
      </w:pPr>
      <w:r w:rsidRPr="000B2180">
        <w:rPr>
          <w:rFonts w:cs="David" w:hint="cs"/>
          <w:sz w:val="24"/>
          <w:szCs w:val="24"/>
          <w:rtl/>
        </w:rPr>
        <w:t xml:space="preserve">** </w:t>
      </w:r>
      <w:r w:rsidR="00702ED8">
        <w:rPr>
          <w:rFonts w:cs="David" w:hint="cs"/>
          <w:sz w:val="24"/>
          <w:szCs w:val="24"/>
          <w:rtl/>
        </w:rPr>
        <w:t xml:space="preserve">בבקשה המוגשת על ידי מבקש הפטנט, </w:t>
      </w:r>
      <w:r w:rsidR="00C06AB8" w:rsidRPr="000B2180">
        <w:rPr>
          <w:rFonts w:cs="David" w:hint="cs"/>
          <w:sz w:val="24"/>
          <w:szCs w:val="24"/>
          <w:rtl/>
        </w:rPr>
        <w:t>סעיף 19א(א) לחוק מאפשר למבקש להגיש בקשה להקדמת בחי</w:t>
      </w:r>
      <w:r w:rsidR="000B2180">
        <w:rPr>
          <w:rFonts w:cs="David" w:hint="cs"/>
          <w:sz w:val="24"/>
          <w:szCs w:val="24"/>
          <w:rtl/>
        </w:rPr>
        <w:t>נה אם יש לו נימוקים סבירים לכך, ובין השאר, נמנו בו</w:t>
      </w:r>
      <w:r w:rsidR="00C06AB8" w:rsidRPr="000B2180">
        <w:rPr>
          <w:rFonts w:cs="David" w:hint="cs"/>
          <w:sz w:val="24"/>
          <w:szCs w:val="24"/>
          <w:rtl/>
        </w:rPr>
        <w:t xml:space="preserve"> 6 </w:t>
      </w:r>
      <w:r w:rsidR="00702ED8">
        <w:rPr>
          <w:rFonts w:cs="David" w:hint="cs"/>
          <w:sz w:val="24"/>
          <w:szCs w:val="24"/>
          <w:rtl/>
        </w:rPr>
        <w:t>ה</w:t>
      </w:r>
      <w:r w:rsidR="00C06AB8" w:rsidRPr="000B2180">
        <w:rPr>
          <w:rFonts w:cs="David" w:hint="cs"/>
          <w:sz w:val="24"/>
          <w:szCs w:val="24"/>
          <w:rtl/>
        </w:rPr>
        <w:t>נימוקים ש</w:t>
      </w:r>
      <w:r w:rsidR="00702ED8">
        <w:rPr>
          <w:rFonts w:cs="David" w:hint="cs"/>
          <w:sz w:val="24"/>
          <w:szCs w:val="24"/>
          <w:rtl/>
        </w:rPr>
        <w:t>פורטו לעיל, ש</w:t>
      </w:r>
      <w:r w:rsidR="00C06AB8" w:rsidRPr="000B2180">
        <w:rPr>
          <w:rFonts w:cs="David" w:hint="cs"/>
          <w:sz w:val="24"/>
          <w:szCs w:val="24"/>
          <w:rtl/>
        </w:rPr>
        <w:t xml:space="preserve">ייראו בכל אחד מהם כנימוק סביר. </w:t>
      </w:r>
    </w:p>
    <w:p w:rsidR="000B2180" w:rsidRDefault="00345FC4" w:rsidP="00A54E2C">
      <w:pPr>
        <w:jc w:val="both"/>
        <w:rPr>
          <w:rFonts w:cs="David"/>
          <w:sz w:val="24"/>
          <w:szCs w:val="24"/>
          <w:rtl/>
        </w:rPr>
      </w:pPr>
      <w:r>
        <w:rPr>
          <w:rFonts w:cs="David" w:hint="cs"/>
          <w:sz w:val="24"/>
          <w:szCs w:val="24"/>
          <w:rtl/>
        </w:rPr>
        <w:t xml:space="preserve">מוצע </w:t>
      </w:r>
      <w:r w:rsidR="000B2180" w:rsidRPr="000B2180">
        <w:rPr>
          <w:rFonts w:cs="David" w:hint="cs"/>
          <w:b/>
          <w:bCs/>
          <w:sz w:val="24"/>
          <w:szCs w:val="24"/>
          <w:rtl/>
        </w:rPr>
        <w:t>לא לגבות</w:t>
      </w:r>
      <w:r w:rsidR="000B2180" w:rsidRPr="000B2180">
        <w:rPr>
          <w:rFonts w:cs="David" w:hint="cs"/>
          <w:sz w:val="24"/>
          <w:szCs w:val="24"/>
          <w:rtl/>
        </w:rPr>
        <w:t xml:space="preserve"> </w:t>
      </w:r>
      <w:r w:rsidR="000B2180">
        <w:rPr>
          <w:rFonts w:cs="David" w:hint="cs"/>
          <w:sz w:val="24"/>
          <w:szCs w:val="24"/>
          <w:rtl/>
        </w:rPr>
        <w:t>אגרה עבור בקשות שהוגשו מהנימוקים המפורטים בסעיף 19א(א)(1) עד (2) לחוק</w:t>
      </w:r>
      <w:r w:rsidR="006D544A">
        <w:rPr>
          <w:rFonts w:cs="David" w:hint="cs"/>
          <w:sz w:val="24"/>
          <w:szCs w:val="24"/>
          <w:rtl/>
        </w:rPr>
        <w:t xml:space="preserve"> (כ</w:t>
      </w:r>
      <w:r w:rsidR="00B81ED7">
        <w:rPr>
          <w:rFonts w:cs="David" w:hint="cs"/>
          <w:sz w:val="24"/>
          <w:szCs w:val="24"/>
          <w:rtl/>
        </w:rPr>
        <w:t>פי ש</w:t>
      </w:r>
      <w:r w:rsidR="006D544A">
        <w:rPr>
          <w:rFonts w:cs="David" w:hint="cs"/>
          <w:sz w:val="24"/>
          <w:szCs w:val="24"/>
          <w:rtl/>
        </w:rPr>
        <w:t xml:space="preserve">קבוע </w:t>
      </w:r>
      <w:r w:rsidR="00B81ED7">
        <w:rPr>
          <w:rFonts w:cs="David" w:hint="cs"/>
          <w:sz w:val="24"/>
          <w:szCs w:val="24"/>
          <w:rtl/>
        </w:rPr>
        <w:t xml:space="preserve">גם </w:t>
      </w:r>
      <w:r w:rsidR="006D544A">
        <w:rPr>
          <w:rFonts w:cs="David" w:hint="cs"/>
          <w:sz w:val="24"/>
          <w:szCs w:val="24"/>
          <w:rtl/>
        </w:rPr>
        <w:t>היום)</w:t>
      </w:r>
      <w:r w:rsidR="000B2180">
        <w:rPr>
          <w:rFonts w:cs="David" w:hint="cs"/>
          <w:sz w:val="24"/>
          <w:szCs w:val="24"/>
          <w:rtl/>
        </w:rPr>
        <w:t>:</w:t>
      </w:r>
    </w:p>
    <w:p w:rsidR="000B2180" w:rsidRDefault="000B2180" w:rsidP="000B2180">
      <w:pPr>
        <w:pStyle w:val="a6"/>
        <w:numPr>
          <w:ilvl w:val="0"/>
          <w:numId w:val="40"/>
        </w:numPr>
        <w:ind w:left="509"/>
        <w:jc w:val="both"/>
        <w:rPr>
          <w:rFonts w:cs="David"/>
          <w:sz w:val="24"/>
          <w:szCs w:val="24"/>
        </w:rPr>
      </w:pPr>
      <w:r w:rsidRPr="00345FC4">
        <w:rPr>
          <w:rFonts w:cs="David" w:hint="cs"/>
          <w:sz w:val="24"/>
          <w:szCs w:val="24"/>
          <w:rtl/>
        </w:rPr>
        <w:t>גילו המתקדם או מצבו הרפואי של המבקש;</w:t>
      </w:r>
    </w:p>
    <w:p w:rsidR="000B2180" w:rsidRDefault="000B2180" w:rsidP="00186F4C">
      <w:pPr>
        <w:pStyle w:val="a6"/>
        <w:numPr>
          <w:ilvl w:val="0"/>
          <w:numId w:val="40"/>
        </w:numPr>
        <w:ind w:left="509"/>
        <w:jc w:val="both"/>
        <w:rPr>
          <w:rFonts w:cs="David"/>
          <w:sz w:val="24"/>
          <w:szCs w:val="24"/>
        </w:rPr>
      </w:pPr>
      <w:r w:rsidRPr="001D4CEC">
        <w:rPr>
          <w:rFonts w:cs="David" w:hint="cs"/>
          <w:sz w:val="24"/>
          <w:szCs w:val="24"/>
          <w:rtl/>
        </w:rPr>
        <w:t xml:space="preserve">הודעה של הרשם בדבר אפשרות להקדים את הבחינה בשל בחינת בקשה מקבילה בתנאים ובמדינות שעליהם הודיע הרשם (מדובר בבקשות שמוגשות על פי </w:t>
      </w:r>
      <w:r w:rsidR="00186F4C">
        <w:rPr>
          <w:rFonts w:cs="David" w:hint="cs"/>
          <w:sz w:val="24"/>
          <w:szCs w:val="24"/>
          <w:rtl/>
        </w:rPr>
        <w:t>הסכמים</w:t>
      </w:r>
      <w:r w:rsidR="00186F4C" w:rsidRPr="001D4CEC">
        <w:rPr>
          <w:rFonts w:cs="David" w:hint="cs"/>
          <w:sz w:val="24"/>
          <w:szCs w:val="24"/>
          <w:rtl/>
        </w:rPr>
        <w:t xml:space="preserve"> </w:t>
      </w:r>
      <w:r w:rsidRPr="001D4CEC">
        <w:rPr>
          <w:rFonts w:cs="David" w:hint="cs"/>
          <w:sz w:val="24"/>
          <w:szCs w:val="24"/>
          <w:rtl/>
        </w:rPr>
        <w:t>בין מדינות</w:t>
      </w:r>
      <w:r w:rsidR="00186F4C">
        <w:rPr>
          <w:rFonts w:cs="David" w:hint="cs"/>
          <w:sz w:val="24"/>
          <w:szCs w:val="24"/>
          <w:rtl/>
        </w:rPr>
        <w:t>,</w:t>
      </w:r>
      <w:r w:rsidR="000A6916">
        <w:rPr>
          <w:rFonts w:cs="David" w:hint="cs"/>
          <w:sz w:val="24"/>
          <w:szCs w:val="24"/>
          <w:rtl/>
        </w:rPr>
        <w:t xml:space="preserve"> לפיהם</w:t>
      </w:r>
      <w:r w:rsidRPr="001D4CEC">
        <w:rPr>
          <w:rFonts w:cs="David" w:hint="cs"/>
          <w:sz w:val="24"/>
          <w:szCs w:val="24"/>
          <w:rtl/>
        </w:rPr>
        <w:t xml:space="preserve"> </w:t>
      </w:r>
      <w:r w:rsidR="00186F4C">
        <w:rPr>
          <w:rFonts w:cs="David" w:hint="cs"/>
          <w:sz w:val="24"/>
          <w:szCs w:val="24"/>
          <w:rtl/>
        </w:rPr>
        <w:t xml:space="preserve">סיום </w:t>
      </w:r>
      <w:r w:rsidRPr="001D4CEC">
        <w:rPr>
          <w:rFonts w:cs="David" w:hint="cs"/>
          <w:sz w:val="24"/>
          <w:szCs w:val="24"/>
          <w:rtl/>
        </w:rPr>
        <w:t>בחינת בקשת פטנט במדינה אחת מאפשר להקדים במקרים מסוימים את בחינת הבקשה במדינה אחרת).</w:t>
      </w:r>
    </w:p>
    <w:p w:rsidR="00345FC4" w:rsidRDefault="000B2180" w:rsidP="000B2180">
      <w:pPr>
        <w:jc w:val="both"/>
        <w:rPr>
          <w:rFonts w:cs="David"/>
          <w:sz w:val="24"/>
          <w:szCs w:val="24"/>
          <w:rtl/>
        </w:rPr>
      </w:pPr>
      <w:r>
        <w:rPr>
          <w:rFonts w:cs="David" w:hint="cs"/>
          <w:sz w:val="24"/>
          <w:szCs w:val="24"/>
          <w:rtl/>
        </w:rPr>
        <w:t xml:space="preserve">ומוצע </w:t>
      </w:r>
      <w:r w:rsidRPr="000B2180">
        <w:rPr>
          <w:rFonts w:cs="David" w:hint="cs"/>
          <w:b/>
          <w:bCs/>
          <w:sz w:val="24"/>
          <w:szCs w:val="24"/>
          <w:rtl/>
        </w:rPr>
        <w:t>לגבות</w:t>
      </w:r>
      <w:r>
        <w:rPr>
          <w:rFonts w:cs="David" w:hint="cs"/>
          <w:sz w:val="24"/>
          <w:szCs w:val="24"/>
          <w:rtl/>
        </w:rPr>
        <w:t xml:space="preserve"> </w:t>
      </w:r>
      <w:r w:rsidR="00345FC4">
        <w:rPr>
          <w:rFonts w:cs="David" w:hint="cs"/>
          <w:sz w:val="24"/>
          <w:szCs w:val="24"/>
          <w:rtl/>
        </w:rPr>
        <w:t xml:space="preserve">אגרה עבור </w:t>
      </w:r>
      <w:r w:rsidR="00ED0398">
        <w:rPr>
          <w:rFonts w:cs="David" w:hint="cs"/>
          <w:sz w:val="24"/>
          <w:szCs w:val="24"/>
          <w:rtl/>
        </w:rPr>
        <w:t>בקשות שהוגשו ב</w:t>
      </w:r>
      <w:r w:rsidR="00345FC4">
        <w:rPr>
          <w:rFonts w:cs="David" w:hint="cs"/>
          <w:sz w:val="24"/>
          <w:szCs w:val="24"/>
          <w:rtl/>
        </w:rPr>
        <w:t>נימוקים המפורטים בסעיף 19א(א)(3) עד (6) לחוק:</w:t>
      </w:r>
    </w:p>
    <w:p w:rsidR="00345FC4" w:rsidRPr="00345FC4" w:rsidRDefault="00345FC4" w:rsidP="000B2180">
      <w:pPr>
        <w:pStyle w:val="a6"/>
        <w:numPr>
          <w:ilvl w:val="0"/>
          <w:numId w:val="40"/>
        </w:numPr>
        <w:ind w:left="509"/>
        <w:jc w:val="both"/>
        <w:rPr>
          <w:rFonts w:cs="David"/>
          <w:sz w:val="24"/>
          <w:szCs w:val="24"/>
          <w:rtl/>
        </w:rPr>
      </w:pPr>
      <w:r w:rsidRPr="00345FC4">
        <w:rPr>
          <w:rFonts w:cs="David" w:hint="cs"/>
          <w:sz w:val="24"/>
          <w:szCs w:val="24"/>
          <w:rtl/>
        </w:rPr>
        <w:t>אדם אחר התחיל לנצל את האמצאה הנתבעת בתביעה של בקשת הפטנט, בלא רשותו של מבקש הפטנט, או שיש ביסוס לחשש שהוא יעשה כן;</w:t>
      </w:r>
    </w:p>
    <w:p w:rsidR="00345FC4" w:rsidRDefault="00345FC4" w:rsidP="000B2180">
      <w:pPr>
        <w:pStyle w:val="a6"/>
        <w:numPr>
          <w:ilvl w:val="0"/>
          <w:numId w:val="40"/>
        </w:numPr>
        <w:ind w:left="509"/>
        <w:jc w:val="both"/>
        <w:rPr>
          <w:rFonts w:cs="David"/>
          <w:sz w:val="24"/>
          <w:szCs w:val="24"/>
        </w:rPr>
      </w:pPr>
      <w:r w:rsidRPr="00345FC4">
        <w:rPr>
          <w:rFonts w:cs="David" w:hint="cs"/>
          <w:sz w:val="24"/>
          <w:szCs w:val="24"/>
          <w:rtl/>
        </w:rPr>
        <w:t>חלוף הזמן מאז הוגשה הבקשה לרשות לפי סעיף 15 או מיום כניסתה לשלב הלאומי לפי סעיף 48ד ארוך באופן בלתי סביר, ובכלל זה ארוך באופן משמעותי לעומת המועד שחלף עד לתחילת הבחינה של בקשות אחרות מאותו סוג</w:t>
      </w:r>
      <w:r>
        <w:rPr>
          <w:rFonts w:cs="David" w:hint="cs"/>
          <w:sz w:val="24"/>
          <w:szCs w:val="24"/>
          <w:rtl/>
        </w:rPr>
        <w:t>;</w:t>
      </w:r>
    </w:p>
    <w:p w:rsidR="00345FC4" w:rsidRDefault="00345FC4" w:rsidP="000B2180">
      <w:pPr>
        <w:pStyle w:val="a6"/>
        <w:numPr>
          <w:ilvl w:val="0"/>
          <w:numId w:val="40"/>
        </w:numPr>
        <w:ind w:left="509"/>
        <w:jc w:val="both"/>
        <w:rPr>
          <w:rFonts w:cs="David"/>
          <w:sz w:val="24"/>
          <w:szCs w:val="24"/>
        </w:rPr>
      </w:pPr>
      <w:r w:rsidRPr="00345FC4">
        <w:rPr>
          <w:rFonts w:cs="David" w:hint="cs"/>
          <w:sz w:val="24"/>
          <w:szCs w:val="24"/>
          <w:rtl/>
        </w:rPr>
        <w:t>טובת הציבור</w:t>
      </w:r>
      <w:r>
        <w:rPr>
          <w:rFonts w:cs="David" w:hint="cs"/>
          <w:sz w:val="24"/>
          <w:szCs w:val="24"/>
          <w:rtl/>
        </w:rPr>
        <w:t>;</w:t>
      </w:r>
    </w:p>
    <w:p w:rsidR="00345FC4" w:rsidRPr="00345FC4" w:rsidRDefault="00345FC4" w:rsidP="000B2180">
      <w:pPr>
        <w:pStyle w:val="a6"/>
        <w:numPr>
          <w:ilvl w:val="0"/>
          <w:numId w:val="40"/>
        </w:numPr>
        <w:ind w:left="509"/>
        <w:jc w:val="both"/>
        <w:rPr>
          <w:rFonts w:cs="David"/>
          <w:sz w:val="24"/>
          <w:szCs w:val="24"/>
          <w:rtl/>
        </w:rPr>
      </w:pPr>
      <w:r w:rsidRPr="00345FC4">
        <w:rPr>
          <w:rFonts w:cs="David" w:hint="cs"/>
          <w:sz w:val="24"/>
          <w:szCs w:val="24"/>
          <w:rtl/>
        </w:rPr>
        <w:t>יש נסיבות מיוחדות המצדיקות זאת</w:t>
      </w:r>
      <w:r>
        <w:rPr>
          <w:rFonts w:cs="David" w:hint="cs"/>
          <w:sz w:val="24"/>
          <w:szCs w:val="24"/>
          <w:rtl/>
        </w:rPr>
        <w:t>.</w:t>
      </w:r>
    </w:p>
    <w:p w:rsidR="00C06AB8" w:rsidRPr="00C06AB8" w:rsidRDefault="000B2180" w:rsidP="00215A2F">
      <w:pPr>
        <w:jc w:val="both"/>
        <w:rPr>
          <w:rFonts w:cs="David"/>
          <w:sz w:val="24"/>
          <w:szCs w:val="24"/>
          <w:rtl/>
        </w:rPr>
      </w:pPr>
      <w:r>
        <w:rPr>
          <w:rFonts w:cs="David" w:hint="cs"/>
          <w:sz w:val="24"/>
          <w:szCs w:val="24"/>
          <w:rtl/>
        </w:rPr>
        <w:t xml:space="preserve">הגם שהתיקון מתייחס במפורש </w:t>
      </w:r>
      <w:r w:rsidR="00945940">
        <w:rPr>
          <w:rFonts w:cs="David" w:hint="cs"/>
          <w:sz w:val="24"/>
          <w:szCs w:val="24"/>
          <w:rtl/>
        </w:rPr>
        <w:t xml:space="preserve">רק </w:t>
      </w:r>
      <w:r>
        <w:rPr>
          <w:rFonts w:cs="David" w:hint="cs"/>
          <w:sz w:val="24"/>
          <w:szCs w:val="24"/>
          <w:rtl/>
        </w:rPr>
        <w:t>לגביית אגרה בעד הנימוקים המסוימים שפורטו בחוק, ברי כי רובם ככולם של הנימוקים הסבירים כאמור בסעיף 19א(א) רישה ייכנסו באחד מ</w:t>
      </w:r>
      <w:r w:rsidR="00945940">
        <w:rPr>
          <w:rFonts w:cs="David" w:hint="cs"/>
          <w:sz w:val="24"/>
          <w:szCs w:val="24"/>
          <w:rtl/>
        </w:rPr>
        <w:t>אותם נימוקים שנמנו בחוק</w:t>
      </w:r>
      <w:r>
        <w:rPr>
          <w:rFonts w:cs="David" w:hint="cs"/>
          <w:sz w:val="24"/>
          <w:szCs w:val="24"/>
          <w:rtl/>
        </w:rPr>
        <w:t xml:space="preserve">, </w:t>
      </w:r>
      <w:r w:rsidR="00215A2F">
        <w:rPr>
          <w:rFonts w:cs="David" w:hint="cs"/>
          <w:sz w:val="24"/>
          <w:szCs w:val="24"/>
          <w:rtl/>
        </w:rPr>
        <w:t>ובפרט</w:t>
      </w:r>
      <w:r w:rsidR="00945940">
        <w:rPr>
          <w:rFonts w:cs="David" w:hint="cs"/>
          <w:sz w:val="24"/>
          <w:szCs w:val="24"/>
          <w:rtl/>
        </w:rPr>
        <w:t xml:space="preserve"> </w:t>
      </w:r>
      <w:r>
        <w:rPr>
          <w:rFonts w:cs="David" w:hint="cs"/>
          <w:sz w:val="24"/>
          <w:szCs w:val="24"/>
          <w:rtl/>
        </w:rPr>
        <w:t xml:space="preserve">בסעיף קטן (6) האחרון, שיכול לשמש כמעין סעיף סל. </w:t>
      </w:r>
    </w:p>
    <w:p w:rsidR="005F13A5" w:rsidRPr="005F13A5" w:rsidRDefault="005F13A5" w:rsidP="00AA7A4D">
      <w:pPr>
        <w:jc w:val="both"/>
        <w:rPr>
          <w:rFonts w:cs="David"/>
          <w:sz w:val="24"/>
          <w:szCs w:val="24"/>
          <w:u w:val="single"/>
          <w:rtl/>
        </w:rPr>
      </w:pPr>
      <w:r w:rsidRPr="00F039D3">
        <w:rPr>
          <w:rFonts w:cs="David" w:hint="cs"/>
          <w:sz w:val="24"/>
          <w:szCs w:val="24"/>
          <w:highlight w:val="yellow"/>
          <w:u w:val="single"/>
          <w:rtl/>
        </w:rPr>
        <w:t>לדיון</w:t>
      </w:r>
    </w:p>
    <w:p w:rsidR="00832EBA" w:rsidRDefault="00452B4A" w:rsidP="00452B4A">
      <w:pPr>
        <w:pStyle w:val="a6"/>
        <w:numPr>
          <w:ilvl w:val="0"/>
          <w:numId w:val="39"/>
        </w:numPr>
        <w:jc w:val="both"/>
        <w:rPr>
          <w:rFonts w:cs="David"/>
          <w:sz w:val="24"/>
          <w:szCs w:val="24"/>
        </w:rPr>
      </w:pPr>
      <w:r>
        <w:rPr>
          <w:rFonts w:cs="David" w:hint="cs"/>
          <w:sz w:val="24"/>
          <w:szCs w:val="24"/>
          <w:rtl/>
        </w:rPr>
        <w:t>מוצע לשמוע התייחסות</w:t>
      </w:r>
      <w:r w:rsidR="00832EBA">
        <w:rPr>
          <w:rFonts w:cs="David" w:hint="cs"/>
          <w:sz w:val="24"/>
          <w:szCs w:val="24"/>
          <w:rtl/>
        </w:rPr>
        <w:t xml:space="preserve"> לגובה האגרה שהוא חריג ביחס לסכומי האגרות שנגבים בדרך כלל.</w:t>
      </w:r>
    </w:p>
    <w:p w:rsidR="00F039D3" w:rsidRPr="00C06AB8" w:rsidRDefault="00F039D3" w:rsidP="00945940">
      <w:pPr>
        <w:pStyle w:val="a6"/>
        <w:numPr>
          <w:ilvl w:val="0"/>
          <w:numId w:val="39"/>
        </w:numPr>
        <w:jc w:val="both"/>
        <w:rPr>
          <w:rFonts w:cs="David"/>
          <w:sz w:val="24"/>
          <w:szCs w:val="24"/>
        </w:rPr>
      </w:pPr>
      <w:r w:rsidRPr="00C06AB8">
        <w:rPr>
          <w:rFonts w:cs="David" w:hint="cs"/>
          <w:sz w:val="24"/>
          <w:szCs w:val="24"/>
          <w:rtl/>
        </w:rPr>
        <w:t xml:space="preserve">מוצע לשמוע הסבר מדוע </w:t>
      </w:r>
      <w:r w:rsidR="00945940">
        <w:rPr>
          <w:rFonts w:cs="David" w:hint="cs"/>
          <w:sz w:val="24"/>
          <w:szCs w:val="24"/>
          <w:rtl/>
        </w:rPr>
        <w:t>הוחלט לא לגבות אגרה על בקשות המוגשות מהנימוקים המפורטים בסעיפים 19א(א)(1) עד (2) לחוק, ולגבות את האגרה עבור בקשות המוגשות מהנימוקים המפורטים בסעיפים 19א(א)(3) עד (6) לחוק</w:t>
      </w:r>
      <w:r w:rsidRPr="00C06AB8">
        <w:rPr>
          <w:rFonts w:cs="David" w:hint="cs"/>
          <w:sz w:val="24"/>
          <w:szCs w:val="24"/>
          <w:rtl/>
        </w:rPr>
        <w:t>.</w:t>
      </w:r>
    </w:p>
    <w:p w:rsidR="00E925B0" w:rsidRPr="005D5B18" w:rsidRDefault="00E925B0" w:rsidP="00522C87">
      <w:pPr>
        <w:jc w:val="both"/>
        <w:rPr>
          <w:rFonts w:cs="David"/>
          <w:sz w:val="4"/>
          <w:szCs w:val="4"/>
          <w:rtl/>
        </w:rPr>
      </w:pPr>
    </w:p>
    <w:p w:rsidR="00270B95" w:rsidRDefault="00270B95" w:rsidP="00F33DE9">
      <w:pPr>
        <w:jc w:val="center"/>
        <w:rPr>
          <w:rFonts w:cs="David"/>
          <w:b/>
          <w:bCs/>
          <w:sz w:val="24"/>
          <w:szCs w:val="24"/>
          <w:u w:val="single"/>
          <w:rtl/>
        </w:rPr>
      </w:pPr>
    </w:p>
    <w:p w:rsidR="00270B95" w:rsidRDefault="00270B95" w:rsidP="00F33DE9">
      <w:pPr>
        <w:jc w:val="center"/>
        <w:rPr>
          <w:rFonts w:cs="David"/>
          <w:b/>
          <w:bCs/>
          <w:sz w:val="24"/>
          <w:szCs w:val="24"/>
          <w:u w:val="single"/>
          <w:rtl/>
        </w:rPr>
      </w:pPr>
    </w:p>
    <w:p w:rsidR="00270B95" w:rsidRDefault="00270B95" w:rsidP="00F33DE9">
      <w:pPr>
        <w:jc w:val="center"/>
        <w:rPr>
          <w:rFonts w:cs="David"/>
          <w:b/>
          <w:bCs/>
          <w:sz w:val="24"/>
          <w:szCs w:val="24"/>
          <w:u w:val="single"/>
          <w:rtl/>
        </w:rPr>
      </w:pPr>
    </w:p>
    <w:p w:rsidR="00270B95" w:rsidRDefault="00270B95" w:rsidP="00F33DE9">
      <w:pPr>
        <w:jc w:val="center"/>
        <w:rPr>
          <w:rFonts w:cs="David"/>
          <w:b/>
          <w:bCs/>
          <w:sz w:val="24"/>
          <w:szCs w:val="24"/>
          <w:u w:val="single"/>
          <w:rtl/>
        </w:rPr>
      </w:pPr>
    </w:p>
    <w:p w:rsidR="00270B95" w:rsidRDefault="00270B95" w:rsidP="00F33DE9">
      <w:pPr>
        <w:jc w:val="center"/>
        <w:rPr>
          <w:rFonts w:cs="David"/>
          <w:b/>
          <w:bCs/>
          <w:sz w:val="24"/>
          <w:szCs w:val="24"/>
          <w:u w:val="single"/>
          <w:rtl/>
        </w:rPr>
      </w:pPr>
    </w:p>
    <w:p w:rsidR="00E925B0" w:rsidRPr="00DC7B00" w:rsidRDefault="00E925B0" w:rsidP="00F33DE9">
      <w:pPr>
        <w:jc w:val="center"/>
        <w:rPr>
          <w:rFonts w:cs="David"/>
          <w:b/>
          <w:bCs/>
          <w:sz w:val="24"/>
          <w:szCs w:val="24"/>
          <w:u w:val="single"/>
          <w:rtl/>
        </w:rPr>
      </w:pPr>
      <w:r w:rsidRPr="00DC7B00">
        <w:rPr>
          <w:rFonts w:cs="David" w:hint="cs"/>
          <w:b/>
          <w:bCs/>
          <w:sz w:val="24"/>
          <w:szCs w:val="24"/>
          <w:u w:val="single"/>
          <w:rtl/>
        </w:rPr>
        <w:lastRenderedPageBreak/>
        <w:t>תקנות הפטנטים (נוהלי הרשות, סדרי דין, מסמכים ואגרות) (תיקון</w:t>
      </w:r>
      <w:r w:rsidR="00DC7B00" w:rsidRPr="00DC7B00">
        <w:rPr>
          <w:rFonts w:cs="David" w:hint="cs"/>
          <w:b/>
          <w:bCs/>
          <w:sz w:val="24"/>
          <w:szCs w:val="24"/>
          <w:u w:val="single"/>
          <w:rtl/>
        </w:rPr>
        <w:t xml:space="preserve"> מס' 2</w:t>
      </w:r>
      <w:r w:rsidRPr="00DC7B00">
        <w:rPr>
          <w:rFonts w:cs="David" w:hint="cs"/>
          <w:b/>
          <w:bCs/>
          <w:sz w:val="24"/>
          <w:szCs w:val="24"/>
          <w:u w:val="single"/>
          <w:rtl/>
        </w:rPr>
        <w:t xml:space="preserve">), </w:t>
      </w:r>
      <w:proofErr w:type="spellStart"/>
      <w:r w:rsidRPr="00DC7B00">
        <w:rPr>
          <w:rFonts w:cs="David" w:hint="cs"/>
          <w:b/>
          <w:bCs/>
          <w:sz w:val="24"/>
          <w:szCs w:val="24"/>
          <w:u w:val="single"/>
          <w:rtl/>
        </w:rPr>
        <w:t>התשע"ה</w:t>
      </w:r>
      <w:proofErr w:type="spellEnd"/>
      <w:r w:rsidR="00F33DE9">
        <w:rPr>
          <w:rFonts w:cs="David" w:hint="eastAsia"/>
          <w:b/>
          <w:bCs/>
          <w:sz w:val="24"/>
          <w:szCs w:val="24"/>
          <w:u w:val="single"/>
          <w:rtl/>
        </w:rPr>
        <w:t>–</w:t>
      </w:r>
      <w:r w:rsidRPr="00DC7B00">
        <w:rPr>
          <w:rFonts w:cs="David" w:hint="cs"/>
          <w:b/>
          <w:bCs/>
          <w:sz w:val="24"/>
          <w:szCs w:val="24"/>
          <w:u w:val="single"/>
          <w:rtl/>
        </w:rPr>
        <w:t>2015</w:t>
      </w:r>
    </w:p>
    <w:p w:rsidR="00C62AB8" w:rsidRDefault="00C62AB8" w:rsidP="00C62AB8">
      <w:pPr>
        <w:pStyle w:val="a6"/>
        <w:numPr>
          <w:ilvl w:val="0"/>
          <w:numId w:val="8"/>
        </w:numPr>
        <w:jc w:val="both"/>
        <w:rPr>
          <w:rFonts w:cs="David"/>
          <w:b/>
          <w:bCs/>
          <w:sz w:val="24"/>
          <w:szCs w:val="24"/>
        </w:rPr>
      </w:pPr>
      <w:r>
        <w:rPr>
          <w:rFonts w:cs="David" w:hint="cs"/>
          <w:b/>
          <w:bCs/>
          <w:sz w:val="24"/>
          <w:szCs w:val="24"/>
          <w:rtl/>
        </w:rPr>
        <w:t>הוספת הסדר לדיון בבקשות ביניים (תקנה 5א ותקנה 5)</w:t>
      </w:r>
    </w:p>
    <w:p w:rsidR="00C62AB8" w:rsidRDefault="00C62AB8" w:rsidP="00F33DE9">
      <w:pPr>
        <w:jc w:val="both"/>
        <w:rPr>
          <w:rFonts w:cs="David"/>
          <w:sz w:val="24"/>
          <w:szCs w:val="24"/>
          <w:rtl/>
        </w:rPr>
      </w:pPr>
      <w:r>
        <w:rPr>
          <w:rFonts w:cs="David" w:hint="cs"/>
          <w:sz w:val="24"/>
          <w:szCs w:val="24"/>
          <w:rtl/>
        </w:rPr>
        <w:t>הדיון בבקשות ביניים מוסדר היום בחוזר שקבע הרשם בשנת 2011.</w:t>
      </w:r>
      <w:r>
        <w:rPr>
          <w:rStyle w:val="a5"/>
          <w:rFonts w:cs="David"/>
          <w:sz w:val="24"/>
          <w:szCs w:val="24"/>
          <w:rtl/>
        </w:rPr>
        <w:footnoteReference w:id="6"/>
      </w:r>
      <w:r>
        <w:rPr>
          <w:rFonts w:cs="David" w:hint="cs"/>
          <w:sz w:val="24"/>
          <w:szCs w:val="24"/>
          <w:rtl/>
        </w:rPr>
        <w:t xml:space="preserve"> כעת מוצע לעגן הסדר דומה בתקנה 5א המוצעת. ההסדר שנבחר דומה להסדר הקבוע היום בתקנות סדר הדין האזרחי, </w:t>
      </w:r>
      <w:proofErr w:type="spellStart"/>
      <w:r>
        <w:rPr>
          <w:rFonts w:cs="David" w:hint="cs"/>
          <w:sz w:val="24"/>
          <w:szCs w:val="24"/>
          <w:rtl/>
        </w:rPr>
        <w:t>התשמ"ד</w:t>
      </w:r>
      <w:proofErr w:type="spellEnd"/>
      <w:r w:rsidR="00F33DE9">
        <w:rPr>
          <w:rFonts w:cs="David" w:hint="eastAsia"/>
          <w:sz w:val="24"/>
          <w:szCs w:val="24"/>
          <w:rtl/>
        </w:rPr>
        <w:t>–</w:t>
      </w:r>
      <w:r>
        <w:rPr>
          <w:rFonts w:cs="David" w:hint="cs"/>
          <w:sz w:val="24"/>
          <w:szCs w:val="24"/>
          <w:rtl/>
        </w:rPr>
        <w:t xml:space="preserve">1984 </w:t>
      </w:r>
      <w:r w:rsidR="00F33DE9">
        <w:rPr>
          <w:rFonts w:cs="David" w:hint="cs"/>
          <w:sz w:val="24"/>
          <w:szCs w:val="24"/>
          <w:rtl/>
        </w:rPr>
        <w:t xml:space="preserve">(להלן </w:t>
      </w:r>
      <w:r w:rsidR="00F33DE9">
        <w:rPr>
          <w:rFonts w:cs="David"/>
          <w:sz w:val="24"/>
          <w:szCs w:val="24"/>
          <w:rtl/>
        </w:rPr>
        <w:t>–</w:t>
      </w:r>
      <w:r w:rsidR="00F33DE9">
        <w:rPr>
          <w:rFonts w:cs="David" w:hint="cs"/>
          <w:sz w:val="24"/>
          <w:szCs w:val="24"/>
          <w:rtl/>
        </w:rPr>
        <w:t xml:space="preserve"> תקנות </w:t>
      </w:r>
      <w:proofErr w:type="spellStart"/>
      <w:r w:rsidR="00F33DE9">
        <w:rPr>
          <w:rFonts w:cs="David" w:hint="cs"/>
          <w:sz w:val="24"/>
          <w:szCs w:val="24"/>
          <w:rtl/>
        </w:rPr>
        <w:t>סד"א</w:t>
      </w:r>
      <w:proofErr w:type="spellEnd"/>
      <w:r w:rsidR="00F33DE9">
        <w:rPr>
          <w:rFonts w:cs="David" w:hint="cs"/>
          <w:sz w:val="24"/>
          <w:szCs w:val="24"/>
          <w:rtl/>
        </w:rPr>
        <w:t xml:space="preserve">) </w:t>
      </w:r>
      <w:r>
        <w:rPr>
          <w:rFonts w:cs="David" w:hint="cs"/>
          <w:sz w:val="24"/>
          <w:szCs w:val="24"/>
          <w:rtl/>
        </w:rPr>
        <w:t xml:space="preserve">לגבי בקשות בכתב (תקנות 241-240 לתקנות </w:t>
      </w:r>
      <w:proofErr w:type="spellStart"/>
      <w:r>
        <w:rPr>
          <w:rFonts w:cs="David" w:hint="cs"/>
          <w:sz w:val="24"/>
          <w:szCs w:val="24"/>
          <w:rtl/>
        </w:rPr>
        <w:t>סד"א</w:t>
      </w:r>
      <w:proofErr w:type="spellEnd"/>
      <w:r>
        <w:rPr>
          <w:rFonts w:cs="David" w:hint="cs"/>
          <w:sz w:val="24"/>
          <w:szCs w:val="24"/>
          <w:rtl/>
        </w:rPr>
        <w:t xml:space="preserve">). </w:t>
      </w:r>
    </w:p>
    <w:p w:rsidR="00C62AB8" w:rsidRDefault="00702ED8" w:rsidP="00702ED8">
      <w:pPr>
        <w:jc w:val="both"/>
        <w:rPr>
          <w:rFonts w:cs="David"/>
          <w:sz w:val="24"/>
          <w:szCs w:val="24"/>
          <w:rtl/>
        </w:rPr>
      </w:pPr>
      <w:r>
        <w:rPr>
          <w:rFonts w:cs="David" w:hint="cs"/>
          <w:sz w:val="24"/>
          <w:szCs w:val="24"/>
          <w:rtl/>
        </w:rPr>
        <w:t xml:space="preserve">לפי המוצע, </w:t>
      </w:r>
      <w:r w:rsidR="00F33DE9">
        <w:rPr>
          <w:rFonts w:cs="David" w:hint="cs"/>
          <w:sz w:val="24"/>
          <w:szCs w:val="24"/>
          <w:rtl/>
        </w:rPr>
        <w:t>בקשת ביניים</w:t>
      </w:r>
      <w:r w:rsidR="00C62AB8">
        <w:rPr>
          <w:rFonts w:cs="David" w:hint="cs"/>
          <w:sz w:val="24"/>
          <w:szCs w:val="24"/>
          <w:rtl/>
        </w:rPr>
        <w:t xml:space="preserve"> תהיה בקשה שאינה בקשה לסעד עיקרי, בהליך על ריב (כלומר הליך לפי התקנות שיש בו שני צדדים בפני הרשם), או ב</w:t>
      </w:r>
      <w:r w:rsidR="00F33DE9">
        <w:rPr>
          <w:rFonts w:cs="David" w:hint="cs"/>
          <w:sz w:val="24"/>
          <w:szCs w:val="24"/>
          <w:rtl/>
        </w:rPr>
        <w:t>הליך ב</w:t>
      </w:r>
      <w:r w:rsidR="00C62AB8">
        <w:rPr>
          <w:rFonts w:cs="David" w:hint="cs"/>
          <w:sz w:val="24"/>
          <w:szCs w:val="24"/>
          <w:rtl/>
        </w:rPr>
        <w:t>פני אחת הוועדות הפועלות לפי החוק.</w:t>
      </w:r>
      <w:r w:rsidR="00F33DE9">
        <w:rPr>
          <w:rStyle w:val="a5"/>
          <w:rFonts w:cs="David"/>
          <w:sz w:val="24"/>
          <w:szCs w:val="24"/>
          <w:rtl/>
        </w:rPr>
        <w:footnoteReference w:id="7"/>
      </w:r>
      <w:r w:rsidR="00C62AB8">
        <w:rPr>
          <w:rFonts w:cs="David" w:hint="cs"/>
          <w:sz w:val="24"/>
          <w:szCs w:val="24"/>
          <w:rtl/>
        </w:rPr>
        <w:t xml:space="preserve"> </w:t>
      </w:r>
      <w:r w:rsidR="006C5497">
        <w:rPr>
          <w:rFonts w:cs="David" w:hint="cs"/>
          <w:sz w:val="24"/>
          <w:szCs w:val="24"/>
          <w:rtl/>
        </w:rPr>
        <w:t>התיקון נועד</w:t>
      </w:r>
      <w:r w:rsidR="00C62AB8">
        <w:rPr>
          <w:rFonts w:cs="David" w:hint="cs"/>
          <w:sz w:val="24"/>
          <w:szCs w:val="24"/>
          <w:rtl/>
        </w:rPr>
        <w:t xml:space="preserve"> לקבוע חובה להגיש את בקשות הביניים והתגובות להן בכתב, ולהסדיר את זכויות הצדדים:</w:t>
      </w:r>
    </w:p>
    <w:p w:rsidR="00C62AB8" w:rsidRPr="008F5332" w:rsidRDefault="00C62AB8" w:rsidP="00C62AB8">
      <w:pPr>
        <w:pStyle w:val="a6"/>
        <w:numPr>
          <w:ilvl w:val="0"/>
          <w:numId w:val="31"/>
        </w:numPr>
        <w:jc w:val="both"/>
        <w:rPr>
          <w:rFonts w:cs="David"/>
          <w:sz w:val="24"/>
          <w:szCs w:val="24"/>
          <w:rtl/>
        </w:rPr>
      </w:pPr>
      <w:r w:rsidRPr="0052458A">
        <w:rPr>
          <w:rFonts w:cs="David" w:hint="cs"/>
          <w:sz w:val="24"/>
          <w:szCs w:val="24"/>
          <w:rtl/>
        </w:rPr>
        <w:t xml:space="preserve">נקבעו מועדים להגשת </w:t>
      </w:r>
      <w:r>
        <w:rPr>
          <w:rFonts w:cs="David" w:hint="cs"/>
          <w:sz w:val="24"/>
          <w:szCs w:val="24"/>
          <w:rtl/>
        </w:rPr>
        <w:t xml:space="preserve">תשובה </w:t>
      </w:r>
      <w:r w:rsidRPr="0052458A">
        <w:rPr>
          <w:rFonts w:cs="David" w:hint="cs"/>
          <w:sz w:val="24"/>
          <w:szCs w:val="24"/>
          <w:rtl/>
        </w:rPr>
        <w:t>לבקשה ותשובה לת</w:t>
      </w:r>
      <w:r>
        <w:rPr>
          <w:rFonts w:cs="David" w:hint="cs"/>
          <w:sz w:val="24"/>
          <w:szCs w:val="24"/>
          <w:rtl/>
        </w:rPr>
        <w:t xml:space="preserve">שובה </w:t>
      </w:r>
      <w:r>
        <w:rPr>
          <w:rFonts w:cs="David"/>
          <w:sz w:val="24"/>
          <w:szCs w:val="24"/>
          <w:rtl/>
        </w:rPr>
        <w:t>–</w:t>
      </w:r>
      <w:r>
        <w:rPr>
          <w:rFonts w:cs="David" w:hint="cs"/>
          <w:sz w:val="24"/>
          <w:szCs w:val="24"/>
          <w:rtl/>
        </w:rPr>
        <w:t xml:space="preserve"> בדומה לתקנות </w:t>
      </w:r>
      <w:proofErr w:type="spellStart"/>
      <w:r>
        <w:rPr>
          <w:rFonts w:cs="David" w:hint="cs"/>
          <w:sz w:val="24"/>
          <w:szCs w:val="24"/>
          <w:rtl/>
        </w:rPr>
        <w:t>סד"א</w:t>
      </w:r>
      <w:proofErr w:type="spellEnd"/>
      <w:r w:rsidRPr="0052458A">
        <w:rPr>
          <w:rFonts w:cs="David" w:hint="cs"/>
          <w:sz w:val="24"/>
          <w:szCs w:val="24"/>
          <w:rtl/>
        </w:rPr>
        <w:t xml:space="preserve">. </w:t>
      </w:r>
      <w:r>
        <w:rPr>
          <w:rFonts w:cs="David" w:hint="cs"/>
          <w:sz w:val="24"/>
          <w:szCs w:val="24"/>
          <w:rtl/>
        </w:rPr>
        <w:t xml:space="preserve">כל מסמך נוסף </w:t>
      </w:r>
      <w:r>
        <w:rPr>
          <w:rFonts w:cs="David"/>
          <w:sz w:val="24"/>
          <w:szCs w:val="24"/>
          <w:rtl/>
        </w:rPr>
        <w:t>–</w:t>
      </w:r>
      <w:r>
        <w:rPr>
          <w:rFonts w:cs="David" w:hint="cs"/>
          <w:sz w:val="24"/>
          <w:szCs w:val="24"/>
          <w:rtl/>
        </w:rPr>
        <w:t xml:space="preserve"> יוגש רק ברשות הרשם.</w:t>
      </w:r>
    </w:p>
    <w:p w:rsidR="00C62AB8" w:rsidRDefault="00C62AB8" w:rsidP="00C62AB8">
      <w:pPr>
        <w:pStyle w:val="a6"/>
        <w:numPr>
          <w:ilvl w:val="0"/>
          <w:numId w:val="31"/>
        </w:numPr>
        <w:jc w:val="both"/>
        <w:rPr>
          <w:rFonts w:cs="David"/>
          <w:sz w:val="24"/>
          <w:szCs w:val="24"/>
        </w:rPr>
      </w:pPr>
      <w:r>
        <w:rPr>
          <w:rFonts w:cs="David" w:hint="cs"/>
          <w:sz w:val="24"/>
          <w:szCs w:val="24"/>
          <w:rtl/>
        </w:rPr>
        <w:t>המבקש והמשיב ימציאו בעצמם את המסמכים גם ליתר הצדדים בהליך.</w:t>
      </w:r>
    </w:p>
    <w:p w:rsidR="00C62AB8" w:rsidRDefault="00C62AB8" w:rsidP="00C62AB8">
      <w:pPr>
        <w:pStyle w:val="a6"/>
        <w:numPr>
          <w:ilvl w:val="0"/>
          <w:numId w:val="31"/>
        </w:numPr>
        <w:jc w:val="both"/>
        <w:rPr>
          <w:rFonts w:cs="David"/>
          <w:sz w:val="24"/>
          <w:szCs w:val="24"/>
        </w:rPr>
      </w:pPr>
      <w:r>
        <w:rPr>
          <w:rFonts w:cs="David" w:hint="cs"/>
          <w:sz w:val="24"/>
          <w:szCs w:val="24"/>
          <w:rtl/>
        </w:rPr>
        <w:t>הרשם רשאי להחליט בבקשה על יסוד המסמכים בכתב או לאחר חקירת המצהירים.</w:t>
      </w:r>
    </w:p>
    <w:p w:rsidR="00C62AB8" w:rsidRDefault="00C62AB8" w:rsidP="00C62AB8">
      <w:pPr>
        <w:pStyle w:val="a6"/>
        <w:numPr>
          <w:ilvl w:val="0"/>
          <w:numId w:val="31"/>
        </w:numPr>
        <w:jc w:val="both"/>
        <w:rPr>
          <w:rFonts w:cs="David"/>
          <w:sz w:val="24"/>
          <w:szCs w:val="24"/>
        </w:rPr>
      </w:pPr>
      <w:r>
        <w:rPr>
          <w:rFonts w:cs="David" w:hint="cs"/>
          <w:sz w:val="24"/>
          <w:szCs w:val="24"/>
          <w:rtl/>
        </w:rPr>
        <w:t xml:space="preserve">כדי לייעל את ההליך, ובשונה מהקבוע בתקנות </w:t>
      </w:r>
      <w:proofErr w:type="spellStart"/>
      <w:r>
        <w:rPr>
          <w:rFonts w:cs="David" w:hint="cs"/>
          <w:sz w:val="24"/>
          <w:szCs w:val="24"/>
          <w:rtl/>
        </w:rPr>
        <w:t>סד"א</w:t>
      </w:r>
      <w:proofErr w:type="spellEnd"/>
      <w:r>
        <w:rPr>
          <w:rFonts w:cs="David" w:hint="cs"/>
          <w:sz w:val="24"/>
          <w:szCs w:val="24"/>
          <w:rtl/>
        </w:rPr>
        <w:t>, מוצע לקבוע כי בבקשות מסוימות (בקשה לדחיית מועד דיון, בקשה להארכת מועד ובקשה לתיקון פרוטוקול) על המבקש לכלול בבקשתו את עמדת יתר הצדדים להליך בנוגע לבקשה.</w:t>
      </w:r>
    </w:p>
    <w:p w:rsidR="00C62AB8" w:rsidRPr="00C62AB8" w:rsidRDefault="006C5497" w:rsidP="006C5497">
      <w:pPr>
        <w:jc w:val="both"/>
        <w:rPr>
          <w:rFonts w:cs="David"/>
          <w:sz w:val="24"/>
          <w:szCs w:val="24"/>
        </w:rPr>
      </w:pPr>
      <w:r>
        <w:rPr>
          <w:rFonts w:cs="David" w:hint="cs"/>
          <w:sz w:val="24"/>
          <w:szCs w:val="24"/>
          <w:rtl/>
        </w:rPr>
        <w:t xml:space="preserve">לצורך התאמת התקנות לתיקון זה, </w:t>
      </w:r>
      <w:r w:rsidR="00C62AB8">
        <w:rPr>
          <w:rFonts w:cs="David" w:hint="cs"/>
          <w:sz w:val="24"/>
          <w:szCs w:val="24"/>
          <w:rtl/>
        </w:rPr>
        <w:t xml:space="preserve">מוצע לתקן גם את תקנה 5 לתקנות, שעוסקת בבקשות להארכת מועד </w:t>
      </w:r>
      <w:r w:rsidR="00C62AB8">
        <w:rPr>
          <w:rFonts w:cs="David"/>
          <w:sz w:val="24"/>
          <w:szCs w:val="24"/>
          <w:rtl/>
        </w:rPr>
        <w:t>–</w:t>
      </w:r>
      <w:r w:rsidR="00C62AB8">
        <w:rPr>
          <w:rFonts w:cs="David" w:hint="cs"/>
          <w:sz w:val="24"/>
          <w:szCs w:val="24"/>
          <w:rtl/>
        </w:rPr>
        <w:t xml:space="preserve"> ולקבוע כי היא תעסוק רק בבקשות להארכת מועד שתקנה 5א המוצעת לא חלה עליהן. הכוונה כי תקנה 5 תחול בבקשות להארכת מועד </w:t>
      </w:r>
      <w:r w:rsidR="00547FC6">
        <w:rPr>
          <w:rFonts w:cs="David" w:hint="cs"/>
          <w:sz w:val="24"/>
          <w:szCs w:val="24"/>
          <w:rtl/>
        </w:rPr>
        <w:t>במהלך בחינת בקשת הפטנט בידי הבוחן ו</w:t>
      </w:r>
      <w:r w:rsidR="00C62AB8">
        <w:rPr>
          <w:rFonts w:cs="David" w:hint="cs"/>
          <w:sz w:val="24"/>
          <w:szCs w:val="24"/>
          <w:rtl/>
        </w:rPr>
        <w:t xml:space="preserve">בהליכים החד-צדדיים המתנהלים בפני הרשם. למשל, בהשגה על פעולת בוחן לפי תקנות 46 ו-150. </w:t>
      </w:r>
    </w:p>
    <w:p w:rsidR="00356CDE" w:rsidRPr="00160E7A" w:rsidRDefault="00F70B51" w:rsidP="00356CDE">
      <w:pPr>
        <w:pStyle w:val="a6"/>
        <w:numPr>
          <w:ilvl w:val="0"/>
          <w:numId w:val="8"/>
        </w:numPr>
        <w:jc w:val="both"/>
        <w:rPr>
          <w:rFonts w:cs="David"/>
          <w:b/>
          <w:bCs/>
          <w:sz w:val="24"/>
          <w:szCs w:val="24"/>
        </w:rPr>
      </w:pPr>
      <w:r>
        <w:rPr>
          <w:rFonts w:cs="David" w:hint="cs"/>
          <w:b/>
          <w:bCs/>
          <w:sz w:val="24"/>
          <w:szCs w:val="24"/>
          <w:rtl/>
        </w:rPr>
        <w:t>הגשה ב</w:t>
      </w:r>
      <w:r w:rsidR="00356CDE" w:rsidRPr="00160E7A">
        <w:rPr>
          <w:rFonts w:cs="David" w:hint="cs"/>
          <w:b/>
          <w:bCs/>
          <w:sz w:val="24"/>
          <w:szCs w:val="24"/>
          <w:rtl/>
        </w:rPr>
        <w:t xml:space="preserve">מערכת אלקטרונית </w:t>
      </w:r>
      <w:r w:rsidR="00C62AB8">
        <w:rPr>
          <w:rFonts w:cs="David" w:hint="cs"/>
          <w:b/>
          <w:bCs/>
          <w:sz w:val="24"/>
          <w:szCs w:val="24"/>
          <w:rtl/>
        </w:rPr>
        <w:t>(תקנות 10א, 11א עד 11ד והתאמות נוספות)</w:t>
      </w:r>
    </w:p>
    <w:p w:rsidR="00E4629A" w:rsidRDefault="005D5B18" w:rsidP="00061D8A">
      <w:pPr>
        <w:jc w:val="both"/>
        <w:rPr>
          <w:rFonts w:cs="David"/>
          <w:sz w:val="24"/>
          <w:szCs w:val="24"/>
          <w:rtl/>
        </w:rPr>
      </w:pPr>
      <w:r>
        <w:rPr>
          <w:rFonts w:cs="David" w:hint="cs"/>
          <w:sz w:val="24"/>
          <w:szCs w:val="24"/>
          <w:rtl/>
        </w:rPr>
        <w:t>רשות הפטנטים מבצעת מהלך רוחבי למעבר להגשה של בקשות ומסמכים</w:t>
      </w:r>
      <w:r w:rsidR="008417E9">
        <w:rPr>
          <w:rFonts w:cs="David" w:hint="cs"/>
          <w:sz w:val="24"/>
          <w:szCs w:val="24"/>
          <w:rtl/>
        </w:rPr>
        <w:t xml:space="preserve"> באופן אלקטרוני ולעבודה</w:t>
      </w:r>
      <w:r>
        <w:rPr>
          <w:rFonts w:cs="David" w:hint="cs"/>
          <w:sz w:val="24"/>
          <w:szCs w:val="24"/>
          <w:rtl/>
        </w:rPr>
        <w:t xml:space="preserve"> ללא נייר. במהלך העבודה על התיקון המוצע, הרשות הציגה כי המערכת האלקטרונית כבר קיימת, אך על מנת להפעילה נדרשת הסדרה בתקנות. </w:t>
      </w:r>
      <w:r w:rsidR="00CC7F7E">
        <w:rPr>
          <w:rFonts w:cs="David" w:hint="cs"/>
          <w:sz w:val="24"/>
          <w:szCs w:val="24"/>
          <w:rtl/>
        </w:rPr>
        <w:t>ואלו עקרונות הפעלת המערכת:</w:t>
      </w:r>
    </w:p>
    <w:p w:rsidR="00061D8A" w:rsidRPr="00CC7F7E" w:rsidRDefault="004A4E02" w:rsidP="00A54E2C">
      <w:pPr>
        <w:pStyle w:val="a6"/>
        <w:numPr>
          <w:ilvl w:val="1"/>
          <w:numId w:val="8"/>
        </w:numPr>
        <w:ind w:left="368"/>
        <w:jc w:val="both"/>
        <w:rPr>
          <w:rFonts w:cs="David"/>
          <w:sz w:val="24"/>
          <w:szCs w:val="24"/>
          <w:rtl/>
        </w:rPr>
      </w:pPr>
      <w:r w:rsidRPr="004A4E02">
        <w:rPr>
          <w:rFonts w:cs="David" w:hint="cs"/>
          <w:b/>
          <w:bCs/>
          <w:sz w:val="24"/>
          <w:szCs w:val="24"/>
          <w:rtl/>
        </w:rPr>
        <w:t>חובת הגשה</w:t>
      </w:r>
      <w:r w:rsidR="00674E35">
        <w:rPr>
          <w:rFonts w:cs="David" w:hint="cs"/>
          <w:b/>
          <w:bCs/>
          <w:sz w:val="24"/>
          <w:szCs w:val="24"/>
          <w:rtl/>
        </w:rPr>
        <w:t xml:space="preserve"> אלקטרונית</w:t>
      </w:r>
      <w:r w:rsidRPr="004A4E02">
        <w:rPr>
          <w:rFonts w:cs="David" w:hint="cs"/>
          <w:b/>
          <w:bCs/>
          <w:sz w:val="24"/>
          <w:szCs w:val="24"/>
          <w:rtl/>
        </w:rPr>
        <w:t xml:space="preserve"> (תקנה 10א המוצעת)</w:t>
      </w:r>
      <w:r>
        <w:rPr>
          <w:rFonts w:cs="David" w:hint="cs"/>
          <w:sz w:val="24"/>
          <w:szCs w:val="24"/>
          <w:rtl/>
        </w:rPr>
        <w:t xml:space="preserve">: </w:t>
      </w:r>
      <w:r w:rsidR="00061D8A" w:rsidRPr="00CC7F7E">
        <w:rPr>
          <w:rFonts w:cs="David" w:hint="cs"/>
          <w:sz w:val="24"/>
          <w:szCs w:val="24"/>
          <w:rtl/>
        </w:rPr>
        <w:t xml:space="preserve">מוצע </w:t>
      </w:r>
      <w:r w:rsidR="00CC7F7E">
        <w:rPr>
          <w:rFonts w:cs="David" w:hint="cs"/>
          <w:sz w:val="24"/>
          <w:szCs w:val="24"/>
          <w:rtl/>
        </w:rPr>
        <w:t>להסדיר</w:t>
      </w:r>
      <w:r w:rsidR="00061D8A" w:rsidRPr="00CC7F7E">
        <w:rPr>
          <w:rFonts w:cs="David" w:hint="cs"/>
          <w:sz w:val="24"/>
          <w:szCs w:val="24"/>
          <w:rtl/>
        </w:rPr>
        <w:t xml:space="preserve"> </w:t>
      </w:r>
      <w:r w:rsidR="00061D8A" w:rsidRPr="004A4E02">
        <w:rPr>
          <w:rFonts w:cs="David" w:hint="cs"/>
          <w:sz w:val="24"/>
          <w:szCs w:val="24"/>
          <w:rtl/>
        </w:rPr>
        <w:t xml:space="preserve">אפשרות הגשה אלקטרונית של בקשות, הודעות ומסמכים לרשות, </w:t>
      </w:r>
      <w:r w:rsidR="00CC7F7E" w:rsidRPr="004A4E02">
        <w:rPr>
          <w:rFonts w:cs="David" w:hint="cs"/>
          <w:sz w:val="24"/>
          <w:szCs w:val="24"/>
          <w:rtl/>
        </w:rPr>
        <w:t>בנוסף ל</w:t>
      </w:r>
      <w:r w:rsidR="00061D8A" w:rsidRPr="004A4E02">
        <w:rPr>
          <w:rFonts w:cs="David" w:hint="cs"/>
          <w:sz w:val="24"/>
          <w:szCs w:val="24"/>
          <w:rtl/>
        </w:rPr>
        <w:t xml:space="preserve">הגשה בנייר הקיימת היום. </w:t>
      </w:r>
      <w:r w:rsidR="00674E35">
        <w:rPr>
          <w:rFonts w:cs="David" w:hint="cs"/>
          <w:sz w:val="24"/>
          <w:szCs w:val="24"/>
          <w:rtl/>
        </w:rPr>
        <w:t>אפשרות זו תהיה וול</w:t>
      </w:r>
      <w:r w:rsidR="00162195">
        <w:rPr>
          <w:rFonts w:cs="David" w:hint="cs"/>
          <w:sz w:val="24"/>
          <w:szCs w:val="24"/>
          <w:rtl/>
        </w:rPr>
        <w:t>ו</w:t>
      </w:r>
      <w:r w:rsidR="00674E35">
        <w:rPr>
          <w:rFonts w:cs="David" w:hint="cs"/>
          <w:sz w:val="24"/>
          <w:szCs w:val="24"/>
          <w:rtl/>
        </w:rPr>
        <w:t xml:space="preserve">נטרית עבור מגישים פרטיים. </w:t>
      </w:r>
      <w:r w:rsidR="00CC7F7E" w:rsidRPr="004A4E02">
        <w:rPr>
          <w:rFonts w:cs="David" w:hint="cs"/>
          <w:sz w:val="24"/>
          <w:szCs w:val="24"/>
          <w:rtl/>
        </w:rPr>
        <w:t xml:space="preserve">לצד זאת </w:t>
      </w:r>
      <w:r w:rsidR="00061D8A" w:rsidRPr="004A4E02">
        <w:rPr>
          <w:rFonts w:cs="David" w:hint="cs"/>
          <w:sz w:val="24"/>
          <w:szCs w:val="24"/>
          <w:rtl/>
        </w:rPr>
        <w:t>מוצע לקבוע חובת הגשה</w:t>
      </w:r>
      <w:r w:rsidR="00061D8A" w:rsidRPr="00CC7F7E">
        <w:rPr>
          <w:rFonts w:cs="David" w:hint="cs"/>
          <w:sz w:val="24"/>
          <w:szCs w:val="24"/>
          <w:rtl/>
        </w:rPr>
        <w:t xml:space="preserve"> אלקטרוני</w:t>
      </w:r>
      <w:r w:rsidR="00CC7F7E">
        <w:rPr>
          <w:rFonts w:cs="David" w:hint="cs"/>
          <w:sz w:val="24"/>
          <w:szCs w:val="24"/>
          <w:rtl/>
        </w:rPr>
        <w:t>ת</w:t>
      </w:r>
      <w:r w:rsidR="00061D8A" w:rsidRPr="00CC7F7E">
        <w:rPr>
          <w:rFonts w:cs="David" w:hint="cs"/>
          <w:sz w:val="24"/>
          <w:szCs w:val="24"/>
          <w:rtl/>
        </w:rPr>
        <w:t xml:space="preserve"> </w:t>
      </w:r>
      <w:r w:rsidR="006E7004">
        <w:rPr>
          <w:rFonts w:cs="David" w:hint="cs"/>
          <w:sz w:val="24"/>
          <w:szCs w:val="24"/>
          <w:rtl/>
        </w:rPr>
        <w:t xml:space="preserve">לגבי </w:t>
      </w:r>
      <w:r w:rsidR="00061D8A" w:rsidRPr="00CC7F7E">
        <w:rPr>
          <w:rFonts w:cs="David" w:hint="cs"/>
          <w:sz w:val="24"/>
          <w:szCs w:val="24"/>
          <w:rtl/>
        </w:rPr>
        <w:t xml:space="preserve">שני סוגי משתמשים: </w:t>
      </w:r>
    </w:p>
    <w:p w:rsidR="00061D8A" w:rsidRPr="00CC7F7E" w:rsidRDefault="00061D8A" w:rsidP="00CC7F7E">
      <w:pPr>
        <w:pStyle w:val="a6"/>
        <w:numPr>
          <w:ilvl w:val="0"/>
          <w:numId w:val="23"/>
        </w:numPr>
        <w:jc w:val="both"/>
        <w:rPr>
          <w:rFonts w:cs="David"/>
          <w:sz w:val="24"/>
          <w:szCs w:val="24"/>
        </w:rPr>
      </w:pPr>
      <w:r w:rsidRPr="00CC7F7E">
        <w:rPr>
          <w:rFonts w:cs="David" w:hint="cs"/>
          <w:sz w:val="24"/>
          <w:szCs w:val="24"/>
          <w:rtl/>
        </w:rPr>
        <w:t>תאגיד (למעט גוף ביטחוני).</w:t>
      </w:r>
    </w:p>
    <w:p w:rsidR="00061D8A" w:rsidRDefault="00061D8A" w:rsidP="00061D8A">
      <w:pPr>
        <w:pStyle w:val="a6"/>
        <w:numPr>
          <w:ilvl w:val="0"/>
          <w:numId w:val="23"/>
        </w:numPr>
        <w:jc w:val="both"/>
        <w:rPr>
          <w:rFonts w:cs="David"/>
          <w:sz w:val="24"/>
          <w:szCs w:val="24"/>
        </w:rPr>
      </w:pPr>
      <w:r>
        <w:rPr>
          <w:rFonts w:cs="David" w:hint="cs"/>
          <w:sz w:val="24"/>
          <w:szCs w:val="24"/>
          <w:rtl/>
        </w:rPr>
        <w:t>בעל מקצוע מורשה המגיש את המסמך במסגרת מקצועו או רישיונו (הכוונה לעורכי פטנטים ועורכי דין, אלא אם הם מייצגים גוף ביטחוני באותה הגשה).</w:t>
      </w:r>
      <w:r w:rsidRPr="00061D8A">
        <w:rPr>
          <w:rFonts w:cs="David" w:hint="cs"/>
          <w:sz w:val="24"/>
          <w:szCs w:val="24"/>
          <w:rtl/>
        </w:rPr>
        <w:t xml:space="preserve"> </w:t>
      </w:r>
    </w:p>
    <w:p w:rsidR="00061D8A" w:rsidRDefault="004A4E02" w:rsidP="00215A2F">
      <w:pPr>
        <w:pStyle w:val="a6"/>
        <w:numPr>
          <w:ilvl w:val="1"/>
          <w:numId w:val="8"/>
        </w:numPr>
        <w:ind w:left="368"/>
        <w:jc w:val="both"/>
        <w:rPr>
          <w:rFonts w:cs="David"/>
          <w:sz w:val="24"/>
          <w:szCs w:val="24"/>
        </w:rPr>
      </w:pPr>
      <w:r w:rsidRPr="004A4E02">
        <w:rPr>
          <w:rFonts w:cs="David" w:hint="cs"/>
          <w:b/>
          <w:bCs/>
          <w:sz w:val="24"/>
          <w:szCs w:val="24"/>
          <w:rtl/>
        </w:rPr>
        <w:t>חובת הזדהות (תקנה 11ב המוצעת)</w:t>
      </w:r>
      <w:r>
        <w:rPr>
          <w:rFonts w:cs="David" w:hint="cs"/>
          <w:sz w:val="24"/>
          <w:szCs w:val="24"/>
          <w:rtl/>
        </w:rPr>
        <w:t xml:space="preserve">: </w:t>
      </w:r>
      <w:r w:rsidR="00CC7F7E">
        <w:rPr>
          <w:rFonts w:cs="David" w:hint="cs"/>
          <w:sz w:val="24"/>
          <w:szCs w:val="24"/>
          <w:rtl/>
        </w:rPr>
        <w:t xml:space="preserve">מוצע לקבוע </w:t>
      </w:r>
      <w:r w:rsidR="00CC7F7E" w:rsidRPr="004A4E02">
        <w:rPr>
          <w:rFonts w:cs="David" w:hint="cs"/>
          <w:sz w:val="24"/>
          <w:szCs w:val="24"/>
          <w:rtl/>
        </w:rPr>
        <w:t>חובת הזדהות</w:t>
      </w:r>
      <w:r w:rsidR="00CC7F7E">
        <w:rPr>
          <w:rFonts w:cs="David" w:hint="cs"/>
          <w:sz w:val="24"/>
          <w:szCs w:val="24"/>
          <w:rtl/>
        </w:rPr>
        <w:t xml:space="preserve"> </w:t>
      </w:r>
      <w:r w:rsidR="00061D8A" w:rsidRPr="00CC7F7E">
        <w:rPr>
          <w:rFonts w:cs="David" w:hint="cs"/>
          <w:sz w:val="24"/>
          <w:szCs w:val="24"/>
          <w:rtl/>
        </w:rPr>
        <w:t xml:space="preserve">באמצעות תעודה אלקטרונית כהגדרתה בחוק חתימה אלקטרונית, </w:t>
      </w:r>
      <w:proofErr w:type="spellStart"/>
      <w:r w:rsidR="00061D8A" w:rsidRPr="00CC7F7E">
        <w:rPr>
          <w:rFonts w:cs="David" w:hint="cs"/>
          <w:sz w:val="24"/>
          <w:szCs w:val="24"/>
          <w:rtl/>
        </w:rPr>
        <w:t>התשס"א</w:t>
      </w:r>
      <w:proofErr w:type="spellEnd"/>
      <w:r w:rsidR="002364EA">
        <w:rPr>
          <w:rFonts w:cs="David" w:hint="eastAsia"/>
          <w:sz w:val="24"/>
          <w:szCs w:val="24"/>
          <w:rtl/>
        </w:rPr>
        <w:t>–</w:t>
      </w:r>
      <w:r w:rsidR="00061D8A" w:rsidRPr="00CC7F7E">
        <w:rPr>
          <w:rFonts w:cs="David" w:hint="cs"/>
          <w:sz w:val="24"/>
          <w:szCs w:val="24"/>
          <w:rtl/>
        </w:rPr>
        <w:t xml:space="preserve">2001. </w:t>
      </w:r>
      <w:r w:rsidR="00CC7F7E">
        <w:rPr>
          <w:rFonts w:cs="David" w:hint="cs"/>
          <w:sz w:val="24"/>
          <w:szCs w:val="24"/>
          <w:rtl/>
        </w:rPr>
        <w:t>התעודה</w:t>
      </w:r>
      <w:r w:rsidR="00061D8A" w:rsidRPr="00CC7F7E">
        <w:rPr>
          <w:rFonts w:cs="David" w:hint="cs"/>
          <w:sz w:val="24"/>
          <w:szCs w:val="24"/>
          <w:rtl/>
        </w:rPr>
        <w:t xml:space="preserve"> מאפשרת זיהוי של האדם המשתמש </w:t>
      </w:r>
      <w:r w:rsidR="00061D8A" w:rsidRPr="00215A2F">
        <w:rPr>
          <w:rFonts w:cs="David" w:hint="cs"/>
          <w:sz w:val="24"/>
          <w:szCs w:val="24"/>
          <w:rtl/>
        </w:rPr>
        <w:t>בה</w:t>
      </w:r>
      <w:r w:rsidR="00CC7F7E" w:rsidRPr="002C0510">
        <w:rPr>
          <w:rFonts w:cs="David" w:hint="cs"/>
          <w:sz w:val="24"/>
          <w:szCs w:val="24"/>
          <w:rtl/>
        </w:rPr>
        <w:t xml:space="preserve">. </w:t>
      </w:r>
      <w:r w:rsidR="00877663" w:rsidRPr="002C0510">
        <w:rPr>
          <w:rFonts w:cs="David" w:hint="cs"/>
          <w:sz w:val="24"/>
          <w:szCs w:val="24"/>
          <w:rtl/>
        </w:rPr>
        <w:t>הגורם המאשר</w:t>
      </w:r>
      <w:r w:rsidR="00877663">
        <w:rPr>
          <w:rFonts w:cs="David" w:hint="cs"/>
          <w:sz w:val="24"/>
          <w:szCs w:val="24"/>
          <w:rtl/>
        </w:rPr>
        <w:t xml:space="preserve"> את </w:t>
      </w:r>
      <w:r w:rsidR="00CC7F7E">
        <w:rPr>
          <w:rFonts w:cs="David" w:hint="cs"/>
          <w:sz w:val="24"/>
          <w:szCs w:val="24"/>
          <w:rtl/>
        </w:rPr>
        <w:t>התעודה מפוקח באמצעות משרד המשפטים</w:t>
      </w:r>
      <w:r w:rsidR="00877663">
        <w:rPr>
          <w:rFonts w:cs="David" w:hint="cs"/>
          <w:sz w:val="24"/>
          <w:szCs w:val="24"/>
          <w:rtl/>
        </w:rPr>
        <w:t xml:space="preserve"> ועל בעל התעודה חלות חובות לפי חוק חתימה אלקטרונית</w:t>
      </w:r>
      <w:r w:rsidR="00061D8A" w:rsidRPr="00CC7F7E">
        <w:rPr>
          <w:rFonts w:cs="David" w:hint="cs"/>
          <w:sz w:val="24"/>
          <w:szCs w:val="24"/>
          <w:rtl/>
        </w:rPr>
        <w:t>.</w:t>
      </w:r>
      <w:r w:rsidR="00CC7F7E">
        <w:rPr>
          <w:rFonts w:cs="David" w:hint="cs"/>
          <w:sz w:val="24"/>
          <w:szCs w:val="24"/>
          <w:rtl/>
        </w:rPr>
        <w:t xml:space="preserve"> </w:t>
      </w:r>
      <w:r w:rsidR="002364EA">
        <w:rPr>
          <w:rFonts w:cs="David" w:hint="cs"/>
          <w:sz w:val="24"/>
          <w:szCs w:val="24"/>
          <w:rtl/>
        </w:rPr>
        <w:t>מ</w:t>
      </w:r>
      <w:r w:rsidR="00CC7F7E">
        <w:rPr>
          <w:rFonts w:cs="David" w:hint="cs"/>
          <w:sz w:val="24"/>
          <w:szCs w:val="24"/>
          <w:rtl/>
        </w:rPr>
        <w:t>גורמי המקצוע ברשות</w:t>
      </w:r>
      <w:r w:rsidR="002364EA">
        <w:rPr>
          <w:rFonts w:cs="David" w:hint="cs"/>
          <w:sz w:val="24"/>
          <w:szCs w:val="24"/>
          <w:rtl/>
        </w:rPr>
        <w:t xml:space="preserve"> נמסר</w:t>
      </w:r>
      <w:r w:rsidR="00CC7F7E">
        <w:rPr>
          <w:rFonts w:cs="David" w:hint="cs"/>
          <w:sz w:val="24"/>
          <w:szCs w:val="24"/>
          <w:rtl/>
        </w:rPr>
        <w:t xml:space="preserve">, </w:t>
      </w:r>
      <w:r w:rsidR="002364EA">
        <w:rPr>
          <w:rFonts w:cs="David" w:hint="cs"/>
          <w:sz w:val="24"/>
          <w:szCs w:val="24"/>
          <w:rtl/>
        </w:rPr>
        <w:t xml:space="preserve">כי </w:t>
      </w:r>
      <w:r w:rsidR="00CC7F7E">
        <w:rPr>
          <w:rFonts w:cs="David" w:hint="cs"/>
          <w:sz w:val="24"/>
          <w:szCs w:val="24"/>
          <w:rtl/>
        </w:rPr>
        <w:t xml:space="preserve">חובת ההזדהות נועדה לאפשר להם לוודא </w:t>
      </w:r>
      <w:r w:rsidR="002364EA">
        <w:rPr>
          <w:rFonts w:cs="David" w:hint="cs"/>
          <w:sz w:val="24"/>
          <w:szCs w:val="24"/>
          <w:rtl/>
        </w:rPr>
        <w:t>ש</w:t>
      </w:r>
      <w:r w:rsidR="00CC7F7E">
        <w:rPr>
          <w:rFonts w:cs="David" w:hint="cs"/>
          <w:sz w:val="24"/>
          <w:szCs w:val="24"/>
          <w:rtl/>
        </w:rPr>
        <w:t xml:space="preserve">מי שמגיש את המסמכים הוא </w:t>
      </w:r>
      <w:r w:rsidR="00A54E2C">
        <w:rPr>
          <w:rFonts w:cs="David" w:hint="cs"/>
          <w:sz w:val="24"/>
          <w:szCs w:val="24"/>
          <w:rtl/>
        </w:rPr>
        <w:t>אותו אדם</w:t>
      </w:r>
      <w:r w:rsidR="00C040FE">
        <w:rPr>
          <w:rFonts w:cs="David" w:hint="cs"/>
          <w:sz w:val="24"/>
          <w:szCs w:val="24"/>
          <w:rtl/>
        </w:rPr>
        <w:t xml:space="preserve"> </w:t>
      </w:r>
      <w:r w:rsidR="00CC7F7E">
        <w:rPr>
          <w:rFonts w:cs="David" w:hint="cs"/>
          <w:sz w:val="24"/>
          <w:szCs w:val="24"/>
          <w:rtl/>
        </w:rPr>
        <w:t>שהחל בהליך כדי למנוע זיופים</w:t>
      </w:r>
      <w:r w:rsidR="00091868">
        <w:rPr>
          <w:rFonts w:cs="David" w:hint="cs"/>
          <w:sz w:val="24"/>
          <w:szCs w:val="24"/>
          <w:rtl/>
        </w:rPr>
        <w:t xml:space="preserve"> או טעויות</w:t>
      </w:r>
      <w:r w:rsidR="00CC7F7E">
        <w:rPr>
          <w:rFonts w:cs="David" w:hint="cs"/>
          <w:sz w:val="24"/>
          <w:szCs w:val="24"/>
          <w:rtl/>
        </w:rPr>
        <w:t xml:space="preserve">. לפיכך, לצד חובת ההזדהות מוצע לקבוע רשימה של מקרים בהם לא תידרש הזדהות, שהמכנה המשותף שלהם הוא </w:t>
      </w:r>
      <w:r w:rsidR="00CC7F7E">
        <w:rPr>
          <w:rFonts w:cs="David"/>
          <w:sz w:val="24"/>
          <w:szCs w:val="24"/>
          <w:rtl/>
        </w:rPr>
        <w:t>–</w:t>
      </w:r>
      <w:r w:rsidR="00CC7F7E">
        <w:rPr>
          <w:rFonts w:cs="David" w:hint="cs"/>
          <w:sz w:val="24"/>
          <w:szCs w:val="24"/>
          <w:rtl/>
        </w:rPr>
        <w:t xml:space="preserve"> מסמכים ראשונים בהליך; מסמכים ראשונים המוגשים על ידי צד שלישי; </w:t>
      </w:r>
      <w:r w:rsidR="00C040FE">
        <w:rPr>
          <w:rFonts w:cs="David" w:hint="cs"/>
          <w:sz w:val="24"/>
          <w:szCs w:val="24"/>
          <w:rtl/>
        </w:rPr>
        <w:t xml:space="preserve">ביצוע </w:t>
      </w:r>
      <w:r w:rsidR="00CC7F7E">
        <w:rPr>
          <w:rFonts w:cs="David" w:hint="cs"/>
          <w:sz w:val="24"/>
          <w:szCs w:val="24"/>
          <w:rtl/>
        </w:rPr>
        <w:t xml:space="preserve">תשלומים; </w:t>
      </w:r>
      <w:r w:rsidR="00C53F6B">
        <w:rPr>
          <w:rFonts w:cs="David" w:hint="cs"/>
          <w:sz w:val="24"/>
          <w:szCs w:val="24"/>
          <w:rtl/>
        </w:rPr>
        <w:t>ו</w:t>
      </w:r>
      <w:r w:rsidR="00DF2FF7">
        <w:rPr>
          <w:rFonts w:cs="David" w:hint="cs"/>
          <w:sz w:val="24"/>
          <w:szCs w:val="24"/>
          <w:rtl/>
        </w:rPr>
        <w:t xml:space="preserve">מסמכים הקשורים </w:t>
      </w:r>
      <w:r w:rsidR="00A54E2C">
        <w:rPr>
          <w:rFonts w:cs="David" w:hint="cs"/>
          <w:sz w:val="24"/>
          <w:szCs w:val="24"/>
          <w:rtl/>
        </w:rPr>
        <w:t>ל</w:t>
      </w:r>
      <w:r w:rsidR="00C53F6B">
        <w:rPr>
          <w:rFonts w:cs="David" w:hint="cs"/>
          <w:sz w:val="24"/>
          <w:szCs w:val="24"/>
          <w:rtl/>
        </w:rPr>
        <w:t>הליכי רישוי של עורכי פטנטים</w:t>
      </w:r>
      <w:r w:rsidR="00C14330">
        <w:rPr>
          <w:rFonts w:cs="David" w:hint="cs"/>
          <w:sz w:val="24"/>
          <w:szCs w:val="24"/>
          <w:rtl/>
        </w:rPr>
        <w:t xml:space="preserve"> </w:t>
      </w:r>
      <w:r w:rsidR="00C14330">
        <w:rPr>
          <w:rFonts w:cs="David"/>
          <w:sz w:val="24"/>
          <w:szCs w:val="24"/>
          <w:rtl/>
        </w:rPr>
        <w:t>–</w:t>
      </w:r>
      <w:r w:rsidR="00C14330">
        <w:rPr>
          <w:rFonts w:cs="David" w:hint="cs"/>
          <w:sz w:val="24"/>
          <w:szCs w:val="24"/>
          <w:rtl/>
        </w:rPr>
        <w:t xml:space="preserve"> שכן לא רוצים להכביד על המתמחים והנבחנים</w:t>
      </w:r>
      <w:r w:rsidR="00C53F6B">
        <w:rPr>
          <w:rFonts w:cs="David" w:hint="cs"/>
          <w:sz w:val="24"/>
          <w:szCs w:val="24"/>
          <w:rtl/>
        </w:rPr>
        <w:t>.</w:t>
      </w:r>
    </w:p>
    <w:p w:rsidR="00CC7F7E" w:rsidRDefault="00F70B51" w:rsidP="002364EA">
      <w:pPr>
        <w:pStyle w:val="a6"/>
        <w:numPr>
          <w:ilvl w:val="1"/>
          <w:numId w:val="8"/>
        </w:numPr>
        <w:ind w:left="368"/>
        <w:jc w:val="both"/>
        <w:rPr>
          <w:rFonts w:cs="David"/>
          <w:sz w:val="24"/>
          <w:szCs w:val="24"/>
        </w:rPr>
      </w:pPr>
      <w:r w:rsidRPr="00F70B51">
        <w:rPr>
          <w:rFonts w:cs="David" w:hint="cs"/>
          <w:b/>
          <w:bCs/>
          <w:sz w:val="24"/>
          <w:szCs w:val="24"/>
          <w:rtl/>
        </w:rPr>
        <w:lastRenderedPageBreak/>
        <w:t>קליטת המסמכים</w:t>
      </w:r>
      <w:r w:rsidR="004A4E02">
        <w:rPr>
          <w:rFonts w:cs="David" w:hint="cs"/>
          <w:b/>
          <w:bCs/>
          <w:sz w:val="24"/>
          <w:szCs w:val="24"/>
          <w:rtl/>
        </w:rPr>
        <w:t xml:space="preserve"> (תקנה 11ג המוצעת)</w:t>
      </w:r>
      <w:r>
        <w:rPr>
          <w:rFonts w:cs="David" w:hint="cs"/>
          <w:sz w:val="24"/>
          <w:szCs w:val="24"/>
          <w:rtl/>
        </w:rPr>
        <w:t xml:space="preserve">: בעת ההגשה, תבוצע בדיקה טכנית שתבדוק אם סוג הקובץ שהוגש מאפשר לקלוט אותו במערכת </w:t>
      </w:r>
      <w:r>
        <w:rPr>
          <w:rFonts w:cs="David"/>
          <w:sz w:val="24"/>
          <w:szCs w:val="24"/>
          <w:rtl/>
        </w:rPr>
        <w:t>–</w:t>
      </w:r>
      <w:r>
        <w:rPr>
          <w:rFonts w:cs="David" w:hint="cs"/>
          <w:sz w:val="24"/>
          <w:szCs w:val="24"/>
          <w:rtl/>
        </w:rPr>
        <w:t xml:space="preserve"> קובץ שאינו מתאים לא ייקלט. בהמשך, תישלח למגיש</w:t>
      </w:r>
      <w:r w:rsidR="00091868">
        <w:rPr>
          <w:rFonts w:cs="David" w:hint="cs"/>
          <w:sz w:val="24"/>
          <w:szCs w:val="24"/>
          <w:rtl/>
        </w:rPr>
        <w:t xml:space="preserve"> המסמך</w:t>
      </w:r>
      <w:r>
        <w:rPr>
          <w:rFonts w:cs="David" w:hint="cs"/>
          <w:sz w:val="24"/>
          <w:szCs w:val="24"/>
          <w:rtl/>
        </w:rPr>
        <w:t xml:space="preserve"> הודעת דוא"ל שיצוין בה האם המסמך נקלט, ואם לא נקלט </w:t>
      </w:r>
      <w:r>
        <w:rPr>
          <w:rFonts w:cs="David"/>
          <w:sz w:val="24"/>
          <w:szCs w:val="24"/>
          <w:rtl/>
        </w:rPr>
        <w:t>–</w:t>
      </w:r>
      <w:r>
        <w:rPr>
          <w:rFonts w:cs="David" w:hint="cs"/>
          <w:sz w:val="24"/>
          <w:szCs w:val="24"/>
          <w:rtl/>
        </w:rPr>
        <w:t xml:space="preserve"> תצוין </w:t>
      </w:r>
      <w:r w:rsidR="00A85760">
        <w:rPr>
          <w:rFonts w:cs="David" w:hint="cs"/>
          <w:sz w:val="24"/>
          <w:szCs w:val="24"/>
          <w:rtl/>
        </w:rPr>
        <w:t xml:space="preserve">סיבת הדחייה (למשל </w:t>
      </w:r>
      <w:r w:rsidR="00A85760">
        <w:rPr>
          <w:rFonts w:cs="David"/>
          <w:sz w:val="24"/>
          <w:szCs w:val="24"/>
          <w:rtl/>
        </w:rPr>
        <w:t>–</w:t>
      </w:r>
      <w:r w:rsidR="00A85760">
        <w:rPr>
          <w:rFonts w:cs="David" w:hint="cs"/>
          <w:sz w:val="24"/>
          <w:szCs w:val="24"/>
          <w:rtl/>
        </w:rPr>
        <w:t xml:space="preserve"> אם המסמך נגוע בווירוס). </w:t>
      </w:r>
      <w:r w:rsidR="006C03B3">
        <w:rPr>
          <w:rFonts w:cs="David" w:hint="cs"/>
          <w:sz w:val="24"/>
          <w:szCs w:val="24"/>
          <w:rtl/>
        </w:rPr>
        <w:t>ככל שמדובר בהגשת בקש</w:t>
      </w:r>
      <w:r w:rsidR="00A54E2C">
        <w:rPr>
          <w:rFonts w:cs="David" w:hint="cs"/>
          <w:sz w:val="24"/>
          <w:szCs w:val="24"/>
          <w:rtl/>
        </w:rPr>
        <w:t>ת פטנט</w:t>
      </w:r>
      <w:r w:rsidR="006C03B3">
        <w:rPr>
          <w:rFonts w:cs="David" w:hint="cs"/>
          <w:sz w:val="24"/>
          <w:szCs w:val="24"/>
          <w:rtl/>
        </w:rPr>
        <w:t xml:space="preserve">, </w:t>
      </w:r>
      <w:r w:rsidR="00A85760">
        <w:rPr>
          <w:rFonts w:cs="David" w:hint="cs"/>
          <w:sz w:val="24"/>
          <w:szCs w:val="24"/>
          <w:rtl/>
        </w:rPr>
        <w:t>הודעה זו אינה נחשבת כ"אישור הגשה" לפי תקנה 29 לתקנות</w:t>
      </w:r>
      <w:r w:rsidR="004A4E02">
        <w:rPr>
          <w:rFonts w:cs="David" w:hint="cs"/>
          <w:sz w:val="24"/>
          <w:szCs w:val="24"/>
          <w:rtl/>
        </w:rPr>
        <w:t xml:space="preserve"> ועל כן, היא לא מקנה למבקש תאריך הגשה לצורך דין קדימה</w:t>
      </w:r>
      <w:r w:rsidR="00775110">
        <w:rPr>
          <w:rFonts w:cs="David" w:hint="cs"/>
          <w:sz w:val="24"/>
          <w:szCs w:val="24"/>
          <w:rtl/>
        </w:rPr>
        <w:t xml:space="preserve"> לפי סעיף 9 לחוק</w:t>
      </w:r>
      <w:r w:rsidR="004A4E02">
        <w:rPr>
          <w:rFonts w:cs="David" w:hint="cs"/>
          <w:sz w:val="24"/>
          <w:szCs w:val="24"/>
          <w:rtl/>
        </w:rPr>
        <w:t xml:space="preserve">. </w:t>
      </w:r>
    </w:p>
    <w:p w:rsidR="004A4E02" w:rsidRDefault="004A4E02" w:rsidP="00FC72A6">
      <w:pPr>
        <w:pStyle w:val="a6"/>
        <w:numPr>
          <w:ilvl w:val="1"/>
          <w:numId w:val="8"/>
        </w:numPr>
        <w:ind w:left="368"/>
        <w:jc w:val="both"/>
        <w:rPr>
          <w:rFonts w:cs="David"/>
          <w:sz w:val="24"/>
          <w:szCs w:val="24"/>
        </w:rPr>
      </w:pPr>
      <w:r>
        <w:rPr>
          <w:rFonts w:cs="David" w:hint="cs"/>
          <w:b/>
          <w:bCs/>
          <w:sz w:val="24"/>
          <w:szCs w:val="24"/>
          <w:rtl/>
        </w:rPr>
        <w:t>החלת הוראות הרשם לפי סעיף 11(א) לחוק</w:t>
      </w:r>
      <w:r>
        <w:rPr>
          <w:rFonts w:cs="David" w:hint="cs"/>
          <w:sz w:val="24"/>
          <w:szCs w:val="24"/>
          <w:rtl/>
        </w:rPr>
        <w:t xml:space="preserve"> </w:t>
      </w:r>
      <w:r w:rsidRPr="004A4E02">
        <w:rPr>
          <w:rFonts w:cs="David" w:hint="cs"/>
          <w:b/>
          <w:bCs/>
          <w:sz w:val="24"/>
          <w:szCs w:val="24"/>
          <w:rtl/>
        </w:rPr>
        <w:t>(תקנה 11א(ג) המוצעת)</w:t>
      </w:r>
      <w:r w:rsidRPr="004A4E02">
        <w:rPr>
          <w:rFonts w:cs="David" w:hint="cs"/>
          <w:sz w:val="24"/>
          <w:szCs w:val="24"/>
          <w:rtl/>
        </w:rPr>
        <w:t>:</w:t>
      </w:r>
      <w:r>
        <w:rPr>
          <w:rFonts w:cs="David" w:hint="cs"/>
          <w:sz w:val="24"/>
          <w:szCs w:val="24"/>
          <w:rtl/>
        </w:rPr>
        <w:t xml:space="preserve"> מוצע להחיל על מסמכים המוגשים באופן אלקטרוני את הוראות הרשם שנקבעו לפי סעיף 11(א) לחוק</w:t>
      </w:r>
      <w:r w:rsidR="00FC72A6">
        <w:rPr>
          <w:rFonts w:cs="David" w:hint="cs"/>
          <w:sz w:val="24"/>
          <w:szCs w:val="24"/>
          <w:rtl/>
        </w:rPr>
        <w:t>.</w:t>
      </w:r>
      <w:r w:rsidR="00FC72A6">
        <w:rPr>
          <w:rStyle w:val="a5"/>
          <w:rFonts w:cs="David"/>
          <w:sz w:val="24"/>
          <w:szCs w:val="24"/>
          <w:rtl/>
        </w:rPr>
        <w:footnoteReference w:id="8"/>
      </w:r>
      <w:r>
        <w:rPr>
          <w:rFonts w:cs="David" w:hint="cs"/>
          <w:sz w:val="24"/>
          <w:szCs w:val="24"/>
          <w:rtl/>
        </w:rPr>
        <w:t xml:space="preserve"> הוראות הרשם</w:t>
      </w:r>
      <w:r w:rsidR="00592E53">
        <w:rPr>
          <w:rFonts w:cs="David" w:hint="cs"/>
          <w:sz w:val="24"/>
          <w:szCs w:val="24"/>
          <w:rtl/>
        </w:rPr>
        <w:t xml:space="preserve"> בהודעתו</w:t>
      </w:r>
      <w:r>
        <w:rPr>
          <w:rFonts w:cs="David" w:hint="cs"/>
          <w:sz w:val="24"/>
          <w:szCs w:val="24"/>
          <w:rtl/>
        </w:rPr>
        <w:t xml:space="preserve"> מיום 25.7.2012 הן טכניות בעיקרן ונקבע בהן כיצד יש לחלק את קבצי הבקשה; באיזה פורמט של קובץ יש להגישן; כיצד יש לכנות את הקבצים </w:t>
      </w:r>
      <w:proofErr w:type="spellStart"/>
      <w:r>
        <w:rPr>
          <w:rFonts w:cs="David" w:hint="cs"/>
          <w:sz w:val="24"/>
          <w:szCs w:val="24"/>
          <w:rtl/>
        </w:rPr>
        <w:t>וכיוצ"ב</w:t>
      </w:r>
      <w:proofErr w:type="spellEnd"/>
      <w:r>
        <w:rPr>
          <w:rFonts w:cs="David" w:hint="cs"/>
          <w:sz w:val="24"/>
          <w:szCs w:val="24"/>
          <w:rtl/>
        </w:rPr>
        <w:t>.</w:t>
      </w:r>
      <w:r w:rsidR="000A5641">
        <w:rPr>
          <w:rStyle w:val="a5"/>
          <w:rFonts w:cs="David"/>
          <w:sz w:val="24"/>
          <w:szCs w:val="24"/>
          <w:rtl/>
        </w:rPr>
        <w:footnoteReference w:id="9"/>
      </w:r>
      <w:r w:rsidR="00B30B2B">
        <w:rPr>
          <w:rFonts w:cs="David" w:hint="cs"/>
          <w:sz w:val="24"/>
          <w:szCs w:val="24"/>
          <w:rtl/>
        </w:rPr>
        <w:t xml:space="preserve"> </w:t>
      </w:r>
    </w:p>
    <w:p w:rsidR="004C449B" w:rsidRDefault="004C449B" w:rsidP="003B6DF3">
      <w:pPr>
        <w:pStyle w:val="a6"/>
        <w:numPr>
          <w:ilvl w:val="1"/>
          <w:numId w:val="8"/>
        </w:numPr>
        <w:ind w:left="368"/>
        <w:jc w:val="both"/>
        <w:rPr>
          <w:rFonts w:cs="David"/>
          <w:sz w:val="24"/>
          <w:szCs w:val="24"/>
        </w:rPr>
      </w:pPr>
      <w:r>
        <w:rPr>
          <w:rFonts w:cs="David" w:hint="cs"/>
          <w:b/>
          <w:bCs/>
          <w:sz w:val="24"/>
          <w:szCs w:val="24"/>
          <w:rtl/>
        </w:rPr>
        <w:t>הגשה בעת תקלה (תקנה 11ד המוצעת)</w:t>
      </w:r>
      <w:r w:rsidRPr="004C449B">
        <w:rPr>
          <w:rFonts w:cs="David" w:hint="cs"/>
          <w:sz w:val="24"/>
          <w:szCs w:val="24"/>
          <w:rtl/>
        </w:rPr>
        <w:t xml:space="preserve">: </w:t>
      </w:r>
      <w:r>
        <w:rPr>
          <w:rFonts w:cs="David" w:hint="cs"/>
          <w:sz w:val="24"/>
          <w:szCs w:val="24"/>
          <w:rtl/>
        </w:rPr>
        <w:t xml:space="preserve">מוצע לקבוע הסדר </w:t>
      </w:r>
      <w:r w:rsidR="003B6DF3">
        <w:rPr>
          <w:rFonts w:cs="David" w:hint="cs"/>
          <w:sz w:val="24"/>
          <w:szCs w:val="24"/>
          <w:rtl/>
        </w:rPr>
        <w:t xml:space="preserve">להגשת </w:t>
      </w:r>
      <w:r>
        <w:rPr>
          <w:rFonts w:cs="David" w:hint="cs"/>
          <w:sz w:val="24"/>
          <w:szCs w:val="24"/>
          <w:rtl/>
        </w:rPr>
        <w:t xml:space="preserve">מסמכים אם ישנה תקלה במערכת האלקטרונית </w:t>
      </w:r>
      <w:r>
        <w:rPr>
          <w:rFonts w:cs="David"/>
          <w:sz w:val="24"/>
          <w:szCs w:val="24"/>
          <w:rtl/>
        </w:rPr>
        <w:t>–</w:t>
      </w:r>
      <w:r>
        <w:rPr>
          <w:rFonts w:cs="David" w:hint="cs"/>
          <w:sz w:val="24"/>
          <w:szCs w:val="24"/>
          <w:rtl/>
        </w:rPr>
        <w:t xml:space="preserve"> הרשם יפרסם הודעה באתר האינטרנט על התקלה. אם התקלה הסתיימה לפני המועד האחרון להגשת המסמך </w:t>
      </w:r>
      <w:r>
        <w:rPr>
          <w:rFonts w:cs="David"/>
          <w:sz w:val="24"/>
          <w:szCs w:val="24"/>
          <w:rtl/>
        </w:rPr>
        <w:t>–</w:t>
      </w:r>
      <w:r>
        <w:rPr>
          <w:rFonts w:cs="David" w:hint="cs"/>
          <w:sz w:val="24"/>
          <w:szCs w:val="24"/>
          <w:rtl/>
        </w:rPr>
        <w:t xml:space="preserve"> ניתן יהיה להגישו בנייר</w:t>
      </w:r>
      <w:r w:rsidR="00091868">
        <w:rPr>
          <w:rFonts w:cs="David" w:hint="cs"/>
          <w:sz w:val="24"/>
          <w:szCs w:val="24"/>
          <w:rtl/>
        </w:rPr>
        <w:t>,</w:t>
      </w:r>
      <w:r>
        <w:rPr>
          <w:rFonts w:cs="David" w:hint="cs"/>
          <w:sz w:val="24"/>
          <w:szCs w:val="24"/>
          <w:rtl/>
        </w:rPr>
        <w:t xml:space="preserve"> </w:t>
      </w:r>
      <w:r w:rsidR="00091868">
        <w:rPr>
          <w:rFonts w:cs="David" w:hint="cs"/>
          <w:sz w:val="24"/>
          <w:szCs w:val="24"/>
          <w:rtl/>
        </w:rPr>
        <w:t xml:space="preserve">גם אם מדובר במגיש מסמך המחויב להגישו באופן אלקטרוני, </w:t>
      </w:r>
      <w:r>
        <w:rPr>
          <w:rFonts w:cs="David" w:hint="cs"/>
          <w:sz w:val="24"/>
          <w:szCs w:val="24"/>
          <w:rtl/>
        </w:rPr>
        <w:t>ממועד תחילת התקלה ועד 2 ימי עסקים לאחר סיומה או לאחר פרסום הודעה על סיומה לפי המאוחר</w:t>
      </w:r>
      <w:r w:rsidR="00091868">
        <w:rPr>
          <w:rFonts w:cs="David" w:hint="cs"/>
          <w:sz w:val="24"/>
          <w:szCs w:val="24"/>
          <w:rtl/>
        </w:rPr>
        <w:t xml:space="preserve"> (וכמובן </w:t>
      </w:r>
      <w:r w:rsidR="00A54E2C">
        <w:rPr>
          <w:rFonts w:cs="David" w:hint="cs"/>
          <w:sz w:val="24"/>
          <w:szCs w:val="24"/>
          <w:rtl/>
        </w:rPr>
        <w:t>ש</w:t>
      </w:r>
      <w:r w:rsidR="00091868">
        <w:rPr>
          <w:rFonts w:cs="David" w:hint="cs"/>
          <w:sz w:val="24"/>
          <w:szCs w:val="24"/>
          <w:rtl/>
        </w:rPr>
        <w:t xml:space="preserve">ניתן יהיה להגיש את המסמך בהגשה </w:t>
      </w:r>
      <w:r w:rsidR="00A63406">
        <w:rPr>
          <w:rFonts w:cs="David" w:hint="cs"/>
          <w:sz w:val="24"/>
          <w:szCs w:val="24"/>
          <w:rtl/>
        </w:rPr>
        <w:t>אלקטרונית</w:t>
      </w:r>
      <w:r w:rsidR="00091868">
        <w:rPr>
          <w:rFonts w:cs="David" w:hint="cs"/>
          <w:sz w:val="24"/>
          <w:szCs w:val="24"/>
          <w:rtl/>
        </w:rPr>
        <w:t xml:space="preserve"> לאחר שחלפה התקלה)</w:t>
      </w:r>
      <w:r>
        <w:rPr>
          <w:rFonts w:cs="David" w:hint="cs"/>
          <w:sz w:val="24"/>
          <w:szCs w:val="24"/>
          <w:rtl/>
        </w:rPr>
        <w:t>.</w:t>
      </w:r>
      <w:r w:rsidR="00E57556">
        <w:rPr>
          <w:rFonts w:cs="David" w:hint="cs"/>
          <w:sz w:val="24"/>
          <w:szCs w:val="24"/>
          <w:rtl/>
        </w:rPr>
        <w:t xml:space="preserve"> אם עדיין ה</w:t>
      </w:r>
      <w:r w:rsidR="00E60346">
        <w:rPr>
          <w:rFonts w:cs="David" w:hint="cs"/>
          <w:sz w:val="24"/>
          <w:szCs w:val="24"/>
          <w:rtl/>
        </w:rPr>
        <w:t>תקיימה תקלה במועד האחרון להגשת ה</w:t>
      </w:r>
      <w:r w:rsidR="00E57556">
        <w:rPr>
          <w:rFonts w:cs="David" w:hint="cs"/>
          <w:sz w:val="24"/>
          <w:szCs w:val="24"/>
          <w:rtl/>
        </w:rPr>
        <w:t xml:space="preserve">מסמך </w:t>
      </w:r>
      <w:r w:rsidR="00E57556">
        <w:rPr>
          <w:rFonts w:cs="David"/>
          <w:sz w:val="24"/>
          <w:szCs w:val="24"/>
          <w:rtl/>
        </w:rPr>
        <w:t>–</w:t>
      </w:r>
      <w:r w:rsidR="00E57556">
        <w:rPr>
          <w:rFonts w:cs="David" w:hint="cs"/>
          <w:sz w:val="24"/>
          <w:szCs w:val="24"/>
          <w:rtl/>
        </w:rPr>
        <w:t xml:space="preserve"> ניתן יהיה להגישו בנייר </w:t>
      </w:r>
      <w:r w:rsidR="00B06108">
        <w:rPr>
          <w:rFonts w:cs="David" w:hint="cs"/>
          <w:sz w:val="24"/>
          <w:szCs w:val="24"/>
          <w:rtl/>
        </w:rPr>
        <w:t>או ב</w:t>
      </w:r>
      <w:r w:rsidR="002364EA">
        <w:rPr>
          <w:rFonts w:cs="David" w:hint="cs"/>
          <w:sz w:val="24"/>
          <w:szCs w:val="24"/>
          <w:rtl/>
        </w:rPr>
        <w:t>אופן אלקטרוני</w:t>
      </w:r>
      <w:r w:rsidR="00B06108">
        <w:rPr>
          <w:rFonts w:cs="David" w:hint="cs"/>
          <w:sz w:val="24"/>
          <w:szCs w:val="24"/>
          <w:rtl/>
        </w:rPr>
        <w:t xml:space="preserve"> </w:t>
      </w:r>
      <w:r w:rsidR="004875BC" w:rsidRPr="004875BC">
        <w:rPr>
          <w:rFonts w:cs="David" w:hint="cs"/>
          <w:sz w:val="24"/>
          <w:szCs w:val="24"/>
          <w:rtl/>
        </w:rPr>
        <w:t>עד 2 ימי עסקים לאחר המועד האחרון</w:t>
      </w:r>
      <w:r w:rsidR="004875BC">
        <w:rPr>
          <w:rFonts w:cs="David" w:hint="cs"/>
          <w:sz w:val="24"/>
          <w:szCs w:val="24"/>
          <w:rtl/>
        </w:rPr>
        <w:t xml:space="preserve"> ויראו </w:t>
      </w:r>
      <w:r w:rsidR="00E60346">
        <w:rPr>
          <w:rFonts w:cs="David" w:hint="cs"/>
          <w:sz w:val="24"/>
          <w:szCs w:val="24"/>
          <w:rtl/>
        </w:rPr>
        <w:t>אותו</w:t>
      </w:r>
      <w:r w:rsidR="004875BC">
        <w:rPr>
          <w:rFonts w:cs="David" w:hint="cs"/>
          <w:sz w:val="24"/>
          <w:szCs w:val="24"/>
          <w:rtl/>
        </w:rPr>
        <w:t xml:space="preserve"> כאילו הוגש במועד האחרון.</w:t>
      </w:r>
    </w:p>
    <w:p w:rsidR="006E3DEA" w:rsidRDefault="00B06108" w:rsidP="00E60346">
      <w:pPr>
        <w:pStyle w:val="a6"/>
        <w:ind w:left="368"/>
        <w:jc w:val="both"/>
        <w:rPr>
          <w:rFonts w:cs="David"/>
          <w:sz w:val="24"/>
          <w:szCs w:val="24"/>
          <w:rtl/>
        </w:rPr>
      </w:pPr>
      <w:r w:rsidRPr="00B06108">
        <w:rPr>
          <w:rFonts w:cs="David" w:hint="cs"/>
          <w:sz w:val="24"/>
          <w:szCs w:val="24"/>
          <w:rtl/>
        </w:rPr>
        <w:t>כן מוצע, לאפשר הגשה</w:t>
      </w:r>
      <w:r>
        <w:rPr>
          <w:rFonts w:cs="David" w:hint="cs"/>
          <w:b/>
          <w:bCs/>
          <w:sz w:val="24"/>
          <w:szCs w:val="24"/>
          <w:rtl/>
        </w:rPr>
        <w:t xml:space="preserve"> </w:t>
      </w:r>
      <w:r>
        <w:rPr>
          <w:rFonts w:cs="David" w:hint="cs"/>
          <w:sz w:val="24"/>
          <w:szCs w:val="24"/>
          <w:rtl/>
        </w:rPr>
        <w:t xml:space="preserve">מאוחרת בשל תקלה במחשבי המגיש </w:t>
      </w:r>
      <w:r>
        <w:rPr>
          <w:rFonts w:cs="David"/>
          <w:sz w:val="24"/>
          <w:szCs w:val="24"/>
          <w:rtl/>
        </w:rPr>
        <w:t>–</w:t>
      </w:r>
      <w:r>
        <w:rPr>
          <w:rFonts w:cs="David" w:hint="cs"/>
          <w:sz w:val="24"/>
          <w:szCs w:val="24"/>
          <w:rtl/>
        </w:rPr>
        <w:t xml:space="preserve"> אם התקלה לא ניתנת לתיקון באותו יום, המגיש יוכל להגיש את המסמך בנייר או במערכת האלקטרונית עד 2 ימי עסקים לאחר המועד האחרון להגשתו</w:t>
      </w:r>
      <w:r w:rsidR="00A63406">
        <w:rPr>
          <w:rFonts w:cs="David" w:hint="cs"/>
          <w:sz w:val="24"/>
          <w:szCs w:val="24"/>
          <w:rtl/>
        </w:rPr>
        <w:t>, גם אם מדובר במגיש מסמך המחויב להגישו באופן אלקטרוני,</w:t>
      </w:r>
      <w:r w:rsidRPr="00B06108">
        <w:rPr>
          <w:rFonts w:cs="David" w:hint="cs"/>
          <w:sz w:val="24"/>
          <w:szCs w:val="24"/>
          <w:rtl/>
        </w:rPr>
        <w:t xml:space="preserve"> </w:t>
      </w:r>
      <w:r>
        <w:rPr>
          <w:rFonts w:cs="David" w:hint="cs"/>
          <w:sz w:val="24"/>
          <w:szCs w:val="24"/>
          <w:rtl/>
        </w:rPr>
        <w:t>ויראו את המסמך כאילו הוגש במועד האחרון. על המגיש לצרף תצהיר שמפרט מדוע לא הוגש המסמך במועד.</w:t>
      </w:r>
    </w:p>
    <w:p w:rsidR="00061D8A" w:rsidRDefault="006E3DEA" w:rsidP="00A54E2C">
      <w:pPr>
        <w:pStyle w:val="a6"/>
        <w:numPr>
          <w:ilvl w:val="1"/>
          <w:numId w:val="8"/>
        </w:numPr>
        <w:ind w:left="368"/>
        <w:jc w:val="both"/>
        <w:rPr>
          <w:rFonts w:cs="David"/>
          <w:sz w:val="24"/>
          <w:szCs w:val="24"/>
        </w:rPr>
      </w:pPr>
      <w:r w:rsidRPr="006E3DEA">
        <w:rPr>
          <w:rFonts w:cs="David" w:hint="cs"/>
          <w:b/>
          <w:bCs/>
          <w:sz w:val="24"/>
          <w:szCs w:val="24"/>
          <w:rtl/>
        </w:rPr>
        <w:t>תחילה</w:t>
      </w:r>
      <w:r>
        <w:rPr>
          <w:rFonts w:cs="David" w:hint="cs"/>
          <w:sz w:val="24"/>
          <w:szCs w:val="24"/>
          <w:rtl/>
        </w:rPr>
        <w:t>: מוצע כי חובת ההגשה האלקטרונית תחל ח</w:t>
      </w:r>
      <w:r w:rsidR="00777F73">
        <w:rPr>
          <w:rFonts w:cs="David" w:hint="cs"/>
          <w:sz w:val="24"/>
          <w:szCs w:val="24"/>
          <w:rtl/>
        </w:rPr>
        <w:t>צי שנה</w:t>
      </w:r>
      <w:r>
        <w:rPr>
          <w:rFonts w:cs="David" w:hint="cs"/>
          <w:sz w:val="24"/>
          <w:szCs w:val="24"/>
          <w:rtl/>
        </w:rPr>
        <w:t xml:space="preserve"> ממועד כניסת התקנות לתוקף, כדי לאפשר לציבור להיערך.</w:t>
      </w:r>
      <w:r w:rsidR="00061D8A">
        <w:rPr>
          <w:rFonts w:cs="David" w:hint="cs"/>
          <w:sz w:val="24"/>
          <w:szCs w:val="24"/>
          <w:rtl/>
        </w:rPr>
        <w:t xml:space="preserve"> </w:t>
      </w:r>
      <w:r w:rsidR="00A63406">
        <w:rPr>
          <w:rFonts w:cs="David" w:hint="cs"/>
          <w:sz w:val="24"/>
          <w:szCs w:val="24"/>
          <w:rtl/>
        </w:rPr>
        <w:t>האפשרות להגשה אלקטרונית תחל כבר במועד תחילת התקנות.</w:t>
      </w:r>
    </w:p>
    <w:p w:rsidR="00B357F5" w:rsidRPr="00244249" w:rsidRDefault="00B357F5" w:rsidP="00B357F5">
      <w:pPr>
        <w:jc w:val="both"/>
        <w:rPr>
          <w:rFonts w:cs="David"/>
          <w:sz w:val="24"/>
          <w:szCs w:val="24"/>
        </w:rPr>
      </w:pPr>
      <w:r w:rsidRPr="00B357F5">
        <w:rPr>
          <w:rFonts w:cs="David" w:hint="cs"/>
          <w:sz w:val="24"/>
          <w:szCs w:val="24"/>
          <w:highlight w:val="yellow"/>
          <w:u w:val="single"/>
          <w:rtl/>
        </w:rPr>
        <w:t>לדיון</w:t>
      </w:r>
      <w:r w:rsidRPr="00E947E7">
        <w:rPr>
          <w:rFonts w:cs="David" w:hint="cs"/>
          <w:sz w:val="24"/>
          <w:szCs w:val="24"/>
          <w:rtl/>
        </w:rPr>
        <w:t xml:space="preserve">: מוצע לשמוע התייחסות לשאלה מדוע לדרוש חובת הגשה אלקטרונית ולא לאפשר זאת כחלופה בלבד </w:t>
      </w:r>
      <w:r w:rsidRPr="00E947E7">
        <w:rPr>
          <w:rFonts w:cs="David"/>
          <w:sz w:val="24"/>
          <w:szCs w:val="24"/>
          <w:rtl/>
        </w:rPr>
        <w:t>–</w:t>
      </w:r>
      <w:r w:rsidRPr="00E947E7">
        <w:rPr>
          <w:rFonts w:cs="David" w:hint="cs"/>
          <w:sz w:val="24"/>
          <w:szCs w:val="24"/>
          <w:rtl/>
        </w:rPr>
        <w:t xml:space="preserve"> ולהותיר לציבור </w:t>
      </w:r>
      <w:r>
        <w:rPr>
          <w:rFonts w:cs="David" w:hint="cs"/>
          <w:sz w:val="24"/>
          <w:szCs w:val="24"/>
          <w:rtl/>
        </w:rPr>
        <w:t>המשתמשים</w:t>
      </w:r>
      <w:r w:rsidRPr="00E947E7">
        <w:rPr>
          <w:rFonts w:cs="David" w:hint="cs"/>
          <w:sz w:val="24"/>
          <w:szCs w:val="24"/>
          <w:rtl/>
        </w:rPr>
        <w:t xml:space="preserve"> לשפוט האם אכן מדובר במערכת נוחה ויעילה עבורם.</w:t>
      </w:r>
    </w:p>
    <w:p w:rsidR="006C5497" w:rsidRDefault="00B357F5" w:rsidP="00B357F5">
      <w:pPr>
        <w:jc w:val="both"/>
        <w:rPr>
          <w:rFonts w:cs="David"/>
          <w:sz w:val="24"/>
          <w:szCs w:val="24"/>
          <w:rtl/>
        </w:rPr>
      </w:pPr>
      <w:r>
        <w:rPr>
          <w:rFonts w:cs="David" w:hint="cs"/>
          <w:sz w:val="24"/>
          <w:szCs w:val="24"/>
          <w:rtl/>
        </w:rPr>
        <w:t xml:space="preserve">כמו כן, </w:t>
      </w:r>
      <w:r w:rsidR="006E3DEA" w:rsidRPr="002364EA">
        <w:rPr>
          <w:rFonts w:cs="David" w:hint="cs"/>
          <w:sz w:val="24"/>
          <w:szCs w:val="24"/>
          <w:rtl/>
        </w:rPr>
        <w:t>ההסמכה לקביעת ההוראות העוסקות במערכת האלקטרונית נובעת לעמדת הרשות ומשרד המשפטים מההוראה הכללית בסעיף 194 לחוק, שמסמיכה את השר לקבוע תקנ</w:t>
      </w:r>
      <w:r w:rsidR="00574A8D" w:rsidRPr="002364EA">
        <w:rPr>
          <w:rFonts w:cs="David" w:hint="cs"/>
          <w:sz w:val="24"/>
          <w:szCs w:val="24"/>
          <w:rtl/>
        </w:rPr>
        <w:t xml:space="preserve">ות לביצועו. להבדיל מכך, </w:t>
      </w:r>
      <w:r w:rsidR="007F46E6" w:rsidRPr="002364EA">
        <w:rPr>
          <w:rFonts w:cs="David" w:hint="cs"/>
          <w:sz w:val="24"/>
          <w:szCs w:val="24"/>
          <w:rtl/>
        </w:rPr>
        <w:t xml:space="preserve">במקרים </w:t>
      </w:r>
      <w:r>
        <w:rPr>
          <w:rFonts w:cs="David" w:hint="cs"/>
          <w:sz w:val="24"/>
          <w:szCs w:val="24"/>
          <w:rtl/>
        </w:rPr>
        <w:t>דומים,</w:t>
      </w:r>
      <w:r w:rsidR="007F46E6" w:rsidRPr="002364EA">
        <w:rPr>
          <w:rFonts w:cs="David" w:hint="cs"/>
          <w:sz w:val="24"/>
          <w:szCs w:val="24"/>
          <w:rtl/>
        </w:rPr>
        <w:t xml:space="preserve"> </w:t>
      </w:r>
      <w:r w:rsidR="005507CC">
        <w:rPr>
          <w:rFonts w:cs="David" w:hint="cs"/>
          <w:sz w:val="24"/>
          <w:szCs w:val="24"/>
          <w:rtl/>
        </w:rPr>
        <w:t>ההסמכה להסדרת</w:t>
      </w:r>
      <w:r w:rsidR="007F46E6" w:rsidRPr="002364EA">
        <w:rPr>
          <w:rFonts w:cs="David" w:hint="cs"/>
          <w:sz w:val="24"/>
          <w:szCs w:val="24"/>
          <w:rtl/>
        </w:rPr>
        <w:t xml:space="preserve"> הגשה אלקטרונית </w:t>
      </w:r>
      <w:r w:rsidR="00A54E2C">
        <w:rPr>
          <w:rFonts w:cs="David" w:hint="cs"/>
          <w:sz w:val="24"/>
          <w:szCs w:val="24"/>
          <w:rtl/>
        </w:rPr>
        <w:t>קבועה באופן מפורש</w:t>
      </w:r>
      <w:r w:rsidR="00574A8D" w:rsidRPr="002364EA">
        <w:rPr>
          <w:rFonts w:cs="David" w:hint="cs"/>
          <w:sz w:val="24"/>
          <w:szCs w:val="24"/>
          <w:rtl/>
        </w:rPr>
        <w:t xml:space="preserve"> בחקיקה ראשית </w:t>
      </w:r>
      <w:r w:rsidR="00574A8D" w:rsidRPr="002364EA">
        <w:rPr>
          <w:rFonts w:cs="David"/>
          <w:sz w:val="24"/>
          <w:szCs w:val="24"/>
          <w:rtl/>
        </w:rPr>
        <w:t>–</w:t>
      </w:r>
      <w:r w:rsidR="00574A8D" w:rsidRPr="002364EA">
        <w:rPr>
          <w:rFonts w:cs="David" w:hint="cs"/>
          <w:sz w:val="24"/>
          <w:szCs w:val="24"/>
          <w:rtl/>
        </w:rPr>
        <w:t xml:space="preserve"> למשל </w:t>
      </w:r>
      <w:r w:rsidR="00574A8D" w:rsidRPr="002364EA">
        <w:rPr>
          <w:rFonts w:cs="David"/>
          <w:sz w:val="24"/>
          <w:szCs w:val="24"/>
          <w:rtl/>
        </w:rPr>
        <w:t>–</w:t>
      </w:r>
      <w:r w:rsidR="00574A8D" w:rsidRPr="002364EA">
        <w:rPr>
          <w:rFonts w:cs="David" w:hint="cs"/>
          <w:sz w:val="24"/>
          <w:szCs w:val="24"/>
          <w:rtl/>
        </w:rPr>
        <w:t xml:space="preserve"> </w:t>
      </w:r>
      <w:r w:rsidR="008F3741" w:rsidRPr="002364EA">
        <w:rPr>
          <w:rFonts w:cs="David" w:hint="cs"/>
          <w:sz w:val="24"/>
          <w:szCs w:val="24"/>
          <w:rtl/>
        </w:rPr>
        <w:t>סעיף 71 ל</w:t>
      </w:r>
      <w:r w:rsidR="00574A8D" w:rsidRPr="002364EA">
        <w:rPr>
          <w:rFonts w:cs="David" w:hint="cs"/>
          <w:sz w:val="24"/>
          <w:szCs w:val="24"/>
          <w:rtl/>
        </w:rPr>
        <w:t>פקודת סימני מסחר</w:t>
      </w:r>
      <w:r w:rsidR="008F3741" w:rsidRPr="002364EA">
        <w:rPr>
          <w:rFonts w:cs="David" w:hint="cs"/>
          <w:sz w:val="24"/>
          <w:szCs w:val="24"/>
          <w:rtl/>
        </w:rPr>
        <w:t xml:space="preserve"> [נוסח חדש], </w:t>
      </w:r>
      <w:proofErr w:type="spellStart"/>
      <w:r w:rsidR="008F3741" w:rsidRPr="002364EA">
        <w:rPr>
          <w:rFonts w:cs="David" w:hint="cs"/>
          <w:sz w:val="24"/>
          <w:szCs w:val="24"/>
          <w:rtl/>
        </w:rPr>
        <w:t>התשל"ב</w:t>
      </w:r>
      <w:proofErr w:type="spellEnd"/>
      <w:r w:rsidR="00690062">
        <w:rPr>
          <w:rFonts w:cs="David" w:hint="eastAsia"/>
          <w:sz w:val="24"/>
          <w:szCs w:val="24"/>
          <w:rtl/>
        </w:rPr>
        <w:t>–</w:t>
      </w:r>
      <w:r w:rsidR="008F3741" w:rsidRPr="002364EA">
        <w:rPr>
          <w:rFonts w:cs="David" w:hint="cs"/>
          <w:sz w:val="24"/>
          <w:szCs w:val="24"/>
          <w:rtl/>
        </w:rPr>
        <w:t>1972</w:t>
      </w:r>
      <w:r w:rsidR="00574A8D">
        <w:rPr>
          <w:rStyle w:val="a5"/>
          <w:rFonts w:cs="David"/>
          <w:sz w:val="24"/>
          <w:szCs w:val="24"/>
          <w:rtl/>
        </w:rPr>
        <w:footnoteReference w:id="10"/>
      </w:r>
      <w:r w:rsidR="00574A8D" w:rsidRPr="002364EA">
        <w:rPr>
          <w:rFonts w:cs="David" w:hint="cs"/>
          <w:sz w:val="24"/>
          <w:szCs w:val="24"/>
          <w:rtl/>
        </w:rPr>
        <w:t xml:space="preserve">; </w:t>
      </w:r>
      <w:r w:rsidR="007F46E6" w:rsidRPr="002364EA">
        <w:rPr>
          <w:rFonts w:cs="David" w:hint="cs"/>
          <w:sz w:val="24"/>
          <w:szCs w:val="24"/>
          <w:rtl/>
        </w:rPr>
        <w:t>ו</w:t>
      </w:r>
      <w:r w:rsidR="00574A8D" w:rsidRPr="002364EA">
        <w:rPr>
          <w:rFonts w:cs="David" w:hint="cs"/>
          <w:sz w:val="24"/>
          <w:szCs w:val="24"/>
          <w:rtl/>
        </w:rPr>
        <w:t>סעיפים 3</w:t>
      </w:r>
      <w:r w:rsidR="008F3741" w:rsidRPr="002364EA">
        <w:rPr>
          <w:rFonts w:cs="David" w:hint="cs"/>
          <w:sz w:val="24"/>
          <w:szCs w:val="24"/>
          <w:rtl/>
        </w:rPr>
        <w:t xml:space="preserve">8 ו-44 לחוק החברות, </w:t>
      </w:r>
      <w:proofErr w:type="spellStart"/>
      <w:r w:rsidR="008F3741" w:rsidRPr="002364EA">
        <w:rPr>
          <w:rFonts w:cs="David" w:hint="cs"/>
          <w:sz w:val="24"/>
          <w:szCs w:val="24"/>
          <w:rtl/>
        </w:rPr>
        <w:t>התשנ"ט</w:t>
      </w:r>
      <w:proofErr w:type="spellEnd"/>
      <w:r w:rsidR="00A54E2C">
        <w:rPr>
          <w:rFonts w:cs="David" w:hint="eastAsia"/>
          <w:sz w:val="24"/>
          <w:szCs w:val="24"/>
          <w:rtl/>
        </w:rPr>
        <w:t>–</w:t>
      </w:r>
      <w:r w:rsidR="008F3741" w:rsidRPr="002364EA">
        <w:rPr>
          <w:rFonts w:cs="David" w:hint="cs"/>
          <w:sz w:val="24"/>
          <w:szCs w:val="24"/>
          <w:rtl/>
        </w:rPr>
        <w:t>1999</w:t>
      </w:r>
      <w:r w:rsidR="00574A8D">
        <w:rPr>
          <w:rStyle w:val="a5"/>
          <w:rFonts w:cs="David"/>
          <w:sz w:val="24"/>
          <w:szCs w:val="24"/>
          <w:rtl/>
        </w:rPr>
        <w:footnoteReference w:id="11"/>
      </w:r>
      <w:r w:rsidR="00574A8D" w:rsidRPr="002364EA">
        <w:rPr>
          <w:rFonts w:cs="David" w:hint="cs"/>
          <w:sz w:val="24"/>
          <w:szCs w:val="24"/>
          <w:rtl/>
        </w:rPr>
        <w:t xml:space="preserve">. </w:t>
      </w:r>
      <w:r w:rsidR="00690062">
        <w:rPr>
          <w:rFonts w:cs="David" w:hint="cs"/>
          <w:sz w:val="24"/>
          <w:szCs w:val="24"/>
          <w:rtl/>
        </w:rPr>
        <w:t xml:space="preserve">אמנם, </w:t>
      </w:r>
      <w:r>
        <w:rPr>
          <w:rFonts w:cs="David" w:hint="cs"/>
          <w:sz w:val="24"/>
          <w:szCs w:val="24"/>
          <w:rtl/>
        </w:rPr>
        <w:t xml:space="preserve">דומה כי </w:t>
      </w:r>
      <w:r w:rsidR="00690062">
        <w:rPr>
          <w:rFonts w:cs="David" w:hint="cs"/>
          <w:sz w:val="24"/>
          <w:szCs w:val="24"/>
          <w:rtl/>
        </w:rPr>
        <w:t xml:space="preserve">הגישה למערכות ממוחשבות המאפשרות הגשה אלקטרונית של מסמכים הפכה עם הזמן לנחלת הכלל ואין היא עוד בגדר מעמסה על האזרח </w:t>
      </w:r>
      <w:r w:rsidR="00367381">
        <w:rPr>
          <w:rFonts w:cs="David" w:hint="cs"/>
          <w:sz w:val="24"/>
          <w:szCs w:val="24"/>
          <w:rtl/>
        </w:rPr>
        <w:t xml:space="preserve">אלא יש בה הקלה וייעול תהליך ההגשה עבורו; כן יש לזכור כי תחום הפטנטים בו עוסקות התקנות הוא תחום טכנולוגי כך שניתן להניח כי רזי המחשב אינם זרים לעוסקים בו, וחובת ההגשה האלקטרונית מוגבלת רק לתאגידים ולבעלי המקצוע בתחום. לצד </w:t>
      </w:r>
      <w:r w:rsidR="00367381">
        <w:rPr>
          <w:rFonts w:cs="David" w:hint="cs"/>
          <w:sz w:val="24"/>
          <w:szCs w:val="24"/>
          <w:rtl/>
        </w:rPr>
        <w:lastRenderedPageBreak/>
        <w:t xml:space="preserve">זאת, נוכח סעיפי ההסמכה המפורשים בחקיקה דומה, מוצע </w:t>
      </w:r>
      <w:r w:rsidR="00574A8D" w:rsidRPr="002364EA">
        <w:rPr>
          <w:rFonts w:cs="David" w:hint="cs"/>
          <w:sz w:val="24"/>
          <w:szCs w:val="24"/>
          <w:rtl/>
        </w:rPr>
        <w:t>לשמו</w:t>
      </w:r>
      <w:r w:rsidR="00244249" w:rsidRPr="002364EA">
        <w:rPr>
          <w:rFonts w:cs="David" w:hint="cs"/>
          <w:sz w:val="24"/>
          <w:szCs w:val="24"/>
          <w:rtl/>
        </w:rPr>
        <w:t>ע את התייחסות משרד המשפטים לכך.</w:t>
      </w:r>
    </w:p>
    <w:p w:rsidR="007C2E85" w:rsidRPr="002364EA" w:rsidRDefault="007C2E85" w:rsidP="00B357F5">
      <w:pPr>
        <w:jc w:val="both"/>
        <w:rPr>
          <w:rFonts w:cs="David"/>
          <w:sz w:val="24"/>
          <w:szCs w:val="24"/>
          <w:rtl/>
        </w:rPr>
      </w:pPr>
    </w:p>
    <w:p w:rsidR="006322D1" w:rsidRPr="00160E7A" w:rsidRDefault="006322D1" w:rsidP="007F46E6">
      <w:pPr>
        <w:pStyle w:val="a6"/>
        <w:numPr>
          <w:ilvl w:val="0"/>
          <w:numId w:val="8"/>
        </w:numPr>
        <w:jc w:val="both"/>
        <w:rPr>
          <w:rFonts w:cs="David"/>
          <w:b/>
          <w:bCs/>
          <w:sz w:val="24"/>
          <w:szCs w:val="24"/>
        </w:rPr>
      </w:pPr>
      <w:r w:rsidRPr="00160E7A">
        <w:rPr>
          <w:rFonts w:cs="David" w:hint="cs"/>
          <w:b/>
          <w:bCs/>
          <w:sz w:val="24"/>
          <w:szCs w:val="24"/>
          <w:rtl/>
        </w:rPr>
        <w:t>הגשה בנייר</w:t>
      </w:r>
      <w:r w:rsidR="00C62AB8">
        <w:rPr>
          <w:rFonts w:cs="David" w:hint="cs"/>
          <w:b/>
          <w:bCs/>
          <w:sz w:val="24"/>
          <w:szCs w:val="24"/>
          <w:rtl/>
        </w:rPr>
        <w:t xml:space="preserve"> (תקנות 11, 78, 147 והתאמות נוספות)</w:t>
      </w:r>
    </w:p>
    <w:p w:rsidR="00C90626" w:rsidRDefault="006322D1" w:rsidP="007F46E6">
      <w:pPr>
        <w:jc w:val="both"/>
        <w:rPr>
          <w:rFonts w:cs="David"/>
          <w:sz w:val="24"/>
          <w:szCs w:val="24"/>
          <w:rtl/>
        </w:rPr>
      </w:pPr>
      <w:r>
        <w:rPr>
          <w:rFonts w:cs="David" w:hint="cs"/>
          <w:sz w:val="24"/>
          <w:szCs w:val="24"/>
          <w:rtl/>
        </w:rPr>
        <w:t>מוצעים תיקונים שונים לגבי ההגשה בנייר</w:t>
      </w:r>
      <w:r w:rsidR="00C90626">
        <w:rPr>
          <w:rFonts w:cs="David" w:hint="cs"/>
          <w:sz w:val="24"/>
          <w:szCs w:val="24"/>
          <w:rtl/>
        </w:rPr>
        <w:t xml:space="preserve"> הקיימת גם כיום</w:t>
      </w:r>
      <w:r w:rsidR="009E0D57">
        <w:rPr>
          <w:rFonts w:cs="David" w:hint="cs"/>
          <w:sz w:val="24"/>
          <w:szCs w:val="24"/>
          <w:rtl/>
        </w:rPr>
        <w:t>, שאלו עיקרם</w:t>
      </w:r>
      <w:r w:rsidR="00C90626">
        <w:rPr>
          <w:rFonts w:cs="David" w:hint="cs"/>
          <w:sz w:val="24"/>
          <w:szCs w:val="24"/>
          <w:rtl/>
        </w:rPr>
        <w:t>:</w:t>
      </w:r>
    </w:p>
    <w:p w:rsidR="00C90626" w:rsidRDefault="00C90626" w:rsidP="00E60346">
      <w:pPr>
        <w:pStyle w:val="a6"/>
        <w:numPr>
          <w:ilvl w:val="0"/>
          <w:numId w:val="25"/>
        </w:numPr>
        <w:jc w:val="both"/>
        <w:rPr>
          <w:rFonts w:cs="David"/>
          <w:sz w:val="24"/>
          <w:szCs w:val="24"/>
        </w:rPr>
      </w:pPr>
      <w:r w:rsidRPr="00C90626">
        <w:rPr>
          <w:rFonts w:cs="David" w:hint="cs"/>
          <w:b/>
          <w:bCs/>
          <w:sz w:val="24"/>
          <w:szCs w:val="24"/>
          <w:rtl/>
        </w:rPr>
        <w:t>ביטול האפשרות להגיש מסמך בכתב יד (תקנה 11(א)(1) המוצעת)</w:t>
      </w:r>
      <w:r>
        <w:rPr>
          <w:rFonts w:cs="David" w:hint="cs"/>
          <w:sz w:val="24"/>
          <w:szCs w:val="24"/>
          <w:rtl/>
        </w:rPr>
        <w:t>.</w:t>
      </w:r>
      <w:r w:rsidR="00244249">
        <w:rPr>
          <w:rFonts w:cs="David" w:hint="cs"/>
          <w:sz w:val="24"/>
          <w:szCs w:val="24"/>
          <w:rtl/>
        </w:rPr>
        <w:t xml:space="preserve"> משיחות עם הרשות עלה כי </w:t>
      </w:r>
      <w:r w:rsidR="00E60346">
        <w:rPr>
          <w:rFonts w:cs="David" w:hint="cs"/>
          <w:sz w:val="24"/>
          <w:szCs w:val="24"/>
          <w:rtl/>
        </w:rPr>
        <w:t xml:space="preserve">בפועל </w:t>
      </w:r>
      <w:r w:rsidR="00244249">
        <w:rPr>
          <w:rFonts w:cs="David" w:hint="cs"/>
          <w:sz w:val="24"/>
          <w:szCs w:val="24"/>
          <w:rtl/>
        </w:rPr>
        <w:t xml:space="preserve">לא מתבצעת היום הגשה של מסמכים בכתב יד, </w:t>
      </w:r>
      <w:r w:rsidR="00E60346">
        <w:rPr>
          <w:rFonts w:cs="David" w:hint="cs"/>
          <w:sz w:val="24"/>
          <w:szCs w:val="24"/>
          <w:rtl/>
        </w:rPr>
        <w:t>ועל כן אין קושי לבטל אפשרות זו</w:t>
      </w:r>
      <w:r w:rsidR="00244249">
        <w:rPr>
          <w:rFonts w:cs="David" w:hint="cs"/>
          <w:sz w:val="24"/>
          <w:szCs w:val="24"/>
          <w:rtl/>
        </w:rPr>
        <w:t>.</w:t>
      </w:r>
    </w:p>
    <w:p w:rsidR="00C367D2" w:rsidRDefault="00C367D2" w:rsidP="00046AD4">
      <w:pPr>
        <w:pStyle w:val="a6"/>
        <w:numPr>
          <w:ilvl w:val="0"/>
          <w:numId w:val="25"/>
        </w:numPr>
        <w:jc w:val="both"/>
        <w:rPr>
          <w:rFonts w:cs="David"/>
          <w:sz w:val="24"/>
          <w:szCs w:val="24"/>
        </w:rPr>
      </w:pPr>
      <w:r>
        <w:rPr>
          <w:rFonts w:cs="David" w:hint="cs"/>
          <w:b/>
          <w:bCs/>
          <w:sz w:val="24"/>
          <w:szCs w:val="24"/>
          <w:rtl/>
        </w:rPr>
        <w:t>מסמכים המוגשים בנייר ניתן להגיש גם בפקס</w:t>
      </w:r>
      <w:r>
        <w:rPr>
          <w:rFonts w:cs="David" w:hint="cs"/>
          <w:sz w:val="24"/>
          <w:szCs w:val="24"/>
          <w:rtl/>
        </w:rPr>
        <w:t xml:space="preserve"> </w:t>
      </w:r>
      <w:r w:rsidRPr="00C367D2">
        <w:rPr>
          <w:rFonts w:cs="David" w:hint="cs"/>
          <w:b/>
          <w:bCs/>
          <w:sz w:val="24"/>
          <w:szCs w:val="24"/>
          <w:rtl/>
        </w:rPr>
        <w:t>(תקנה 11(ד) המוצעת)</w:t>
      </w:r>
      <w:r w:rsidRPr="00C367D2">
        <w:rPr>
          <w:rFonts w:cs="David" w:hint="cs"/>
          <w:sz w:val="24"/>
          <w:szCs w:val="24"/>
          <w:rtl/>
        </w:rPr>
        <w:t>.</w:t>
      </w:r>
      <w:r>
        <w:rPr>
          <w:rFonts w:cs="David" w:hint="cs"/>
          <w:sz w:val="24"/>
          <w:szCs w:val="24"/>
          <w:rtl/>
        </w:rPr>
        <w:t xml:space="preserve"> </w:t>
      </w:r>
      <w:r w:rsidR="00046AD4">
        <w:rPr>
          <w:rFonts w:cs="David" w:hint="cs"/>
          <w:sz w:val="24"/>
          <w:szCs w:val="24"/>
          <w:rtl/>
        </w:rPr>
        <w:t>מסמכים הנשלחים בפקס לרשות מתקבלים אצלה ישירות כקובץ ממוחשב.</w:t>
      </w:r>
    </w:p>
    <w:p w:rsidR="00DF0177" w:rsidRDefault="00C90626" w:rsidP="006B7F14">
      <w:pPr>
        <w:pStyle w:val="a6"/>
        <w:numPr>
          <w:ilvl w:val="0"/>
          <w:numId w:val="25"/>
        </w:numPr>
        <w:jc w:val="both"/>
        <w:rPr>
          <w:rFonts w:cs="David"/>
          <w:sz w:val="24"/>
          <w:szCs w:val="24"/>
        </w:rPr>
      </w:pPr>
      <w:r w:rsidRPr="00C90626">
        <w:rPr>
          <w:rFonts w:cs="David" w:hint="cs"/>
          <w:b/>
          <w:bCs/>
          <w:sz w:val="24"/>
          <w:szCs w:val="24"/>
          <w:rtl/>
        </w:rPr>
        <w:t>ביטול דרישת החתימה על מסמכים (</w:t>
      </w:r>
      <w:r w:rsidR="009E0D57">
        <w:rPr>
          <w:rFonts w:cs="David" w:hint="cs"/>
          <w:b/>
          <w:bCs/>
          <w:sz w:val="24"/>
          <w:szCs w:val="24"/>
          <w:rtl/>
        </w:rPr>
        <w:t>ש</w:t>
      </w:r>
      <w:r w:rsidRPr="00C90626">
        <w:rPr>
          <w:rFonts w:cs="David" w:hint="cs"/>
          <w:b/>
          <w:bCs/>
          <w:sz w:val="24"/>
          <w:szCs w:val="24"/>
          <w:rtl/>
        </w:rPr>
        <w:t>היתה קבועה בתקנה 11(ו))</w:t>
      </w:r>
      <w:r>
        <w:rPr>
          <w:rFonts w:cs="David" w:hint="cs"/>
          <w:sz w:val="24"/>
          <w:szCs w:val="24"/>
          <w:rtl/>
        </w:rPr>
        <w:t xml:space="preserve">: </w:t>
      </w:r>
      <w:r w:rsidR="00AA2F6C" w:rsidRPr="00DF0177">
        <w:rPr>
          <w:rFonts w:cs="David" w:hint="cs"/>
          <w:sz w:val="24"/>
          <w:szCs w:val="24"/>
          <w:rtl/>
        </w:rPr>
        <w:t xml:space="preserve">נכון להיום קיימת לפי </w:t>
      </w:r>
      <w:r w:rsidR="007A72AE">
        <w:rPr>
          <w:rFonts w:cs="David" w:hint="cs"/>
          <w:sz w:val="24"/>
          <w:szCs w:val="24"/>
          <w:rtl/>
        </w:rPr>
        <w:t>תקנה 11</w:t>
      </w:r>
      <w:r w:rsidR="006B7F14">
        <w:rPr>
          <w:rFonts w:cs="David" w:hint="cs"/>
          <w:sz w:val="24"/>
          <w:szCs w:val="24"/>
          <w:rtl/>
        </w:rPr>
        <w:t>(ו)</w:t>
      </w:r>
      <w:r w:rsidR="007A72AE">
        <w:rPr>
          <w:rFonts w:cs="David" w:hint="cs"/>
          <w:sz w:val="24"/>
          <w:szCs w:val="24"/>
          <w:rtl/>
        </w:rPr>
        <w:t xml:space="preserve"> </w:t>
      </w:r>
      <w:r w:rsidR="00AA2F6C" w:rsidRPr="00DF0177">
        <w:rPr>
          <w:rFonts w:cs="David" w:hint="cs"/>
          <w:sz w:val="24"/>
          <w:szCs w:val="24"/>
          <w:rtl/>
        </w:rPr>
        <w:t>חובה לחתום על כל המסמכים המוגשים לרשות. בתיקון מוצע לבטל לחלוטין חובה זו</w:t>
      </w:r>
      <w:r w:rsidR="006B7F14">
        <w:rPr>
          <w:rFonts w:cs="David" w:hint="cs"/>
          <w:sz w:val="24"/>
          <w:szCs w:val="24"/>
          <w:rtl/>
        </w:rPr>
        <w:t>.</w:t>
      </w:r>
      <w:r w:rsidR="00A54E2C">
        <w:rPr>
          <w:rFonts w:cs="David" w:hint="cs"/>
          <w:sz w:val="24"/>
          <w:szCs w:val="24"/>
          <w:rtl/>
        </w:rPr>
        <w:t xml:space="preserve"> </w:t>
      </w:r>
      <w:r w:rsidR="006B7F14">
        <w:rPr>
          <w:rFonts w:cs="David" w:hint="cs"/>
          <w:sz w:val="24"/>
          <w:szCs w:val="24"/>
          <w:rtl/>
        </w:rPr>
        <w:t>כפי ש</w:t>
      </w:r>
      <w:r w:rsidR="00F10E7C" w:rsidRPr="00DF0177">
        <w:rPr>
          <w:rFonts w:cs="David" w:hint="cs"/>
          <w:sz w:val="24"/>
          <w:szCs w:val="24"/>
          <w:rtl/>
        </w:rPr>
        <w:t>הוסבר על ידי הרשות ומשרד המשפטים</w:t>
      </w:r>
      <w:r w:rsidR="006B7F14">
        <w:rPr>
          <w:rFonts w:cs="David" w:hint="cs"/>
          <w:sz w:val="24"/>
          <w:szCs w:val="24"/>
          <w:rtl/>
        </w:rPr>
        <w:t>,</w:t>
      </w:r>
      <w:r w:rsidR="00F10E7C" w:rsidRPr="00DF0177">
        <w:rPr>
          <w:rFonts w:cs="David" w:hint="cs"/>
          <w:sz w:val="24"/>
          <w:szCs w:val="24"/>
          <w:rtl/>
        </w:rPr>
        <w:t xml:space="preserve"> לדרישת החתימה </w:t>
      </w:r>
      <w:r w:rsidR="00244249">
        <w:rPr>
          <w:rFonts w:cs="David" w:hint="cs"/>
          <w:sz w:val="24"/>
          <w:szCs w:val="24"/>
          <w:rtl/>
        </w:rPr>
        <w:t xml:space="preserve">בהקשר זה </w:t>
      </w:r>
      <w:r w:rsidR="00F10E7C" w:rsidRPr="00DF0177">
        <w:rPr>
          <w:rFonts w:cs="David" w:hint="cs"/>
          <w:sz w:val="24"/>
          <w:szCs w:val="24"/>
          <w:rtl/>
        </w:rPr>
        <w:t>היתה</w:t>
      </w:r>
      <w:r w:rsidR="00AA2F6C" w:rsidRPr="00DF0177">
        <w:rPr>
          <w:rFonts w:cs="David" w:hint="cs"/>
          <w:sz w:val="24"/>
          <w:szCs w:val="24"/>
          <w:rtl/>
        </w:rPr>
        <w:t xml:space="preserve"> </w:t>
      </w:r>
      <w:r w:rsidR="00F10E7C" w:rsidRPr="00DF0177">
        <w:rPr>
          <w:rFonts w:cs="David" w:hint="cs"/>
          <w:sz w:val="24"/>
          <w:szCs w:val="24"/>
          <w:rtl/>
        </w:rPr>
        <w:t xml:space="preserve">משמעות פורמלית </w:t>
      </w:r>
      <w:r w:rsidR="00F10E7C" w:rsidRPr="00DF0177">
        <w:rPr>
          <w:rFonts w:cs="David"/>
          <w:sz w:val="24"/>
          <w:szCs w:val="24"/>
          <w:rtl/>
        </w:rPr>
        <w:t>–</w:t>
      </w:r>
      <w:r w:rsidR="00F10E7C" w:rsidRPr="00DF0177">
        <w:rPr>
          <w:rFonts w:cs="David" w:hint="cs"/>
          <w:sz w:val="24"/>
          <w:szCs w:val="24"/>
          <w:rtl/>
        </w:rPr>
        <w:t xml:space="preserve"> "טקסית" </w:t>
      </w:r>
      <w:r w:rsidR="00244249">
        <w:rPr>
          <w:rFonts w:cs="David" w:hint="cs"/>
          <w:sz w:val="24"/>
          <w:szCs w:val="24"/>
          <w:rtl/>
        </w:rPr>
        <w:t xml:space="preserve">בלבד </w:t>
      </w:r>
      <w:r w:rsidR="00F10E7C" w:rsidRPr="00DF0177">
        <w:rPr>
          <w:rFonts w:cs="David" w:hint="cs"/>
          <w:sz w:val="24"/>
          <w:szCs w:val="24"/>
          <w:rtl/>
        </w:rPr>
        <w:t xml:space="preserve">ואין לה </w:t>
      </w:r>
      <w:r w:rsidR="00244249">
        <w:rPr>
          <w:rFonts w:cs="David" w:hint="cs"/>
          <w:sz w:val="24"/>
          <w:szCs w:val="24"/>
          <w:rtl/>
        </w:rPr>
        <w:t xml:space="preserve">בנסיבות אלה משמעות מעבר לכך מבחינתם. </w:t>
      </w:r>
      <w:r w:rsidR="00F10E7C" w:rsidRPr="00DF0177">
        <w:rPr>
          <w:rFonts w:cs="David" w:hint="cs"/>
          <w:sz w:val="24"/>
          <w:szCs w:val="24"/>
          <w:rtl/>
        </w:rPr>
        <w:t xml:space="preserve">על כן מוצע לבטלה. </w:t>
      </w:r>
      <w:r w:rsidR="007A72AE" w:rsidRPr="00034080">
        <w:rPr>
          <w:rFonts w:cs="David" w:hint="cs"/>
          <w:sz w:val="24"/>
          <w:szCs w:val="24"/>
          <w:rtl/>
        </w:rPr>
        <w:t xml:space="preserve">במסגרת </w:t>
      </w:r>
      <w:r w:rsidR="007A72AE">
        <w:rPr>
          <w:rFonts w:cs="David" w:hint="cs"/>
          <w:sz w:val="24"/>
          <w:szCs w:val="24"/>
          <w:rtl/>
        </w:rPr>
        <w:t xml:space="preserve">זו </w:t>
      </w:r>
      <w:r w:rsidR="00E60346">
        <w:rPr>
          <w:rFonts w:cs="David" w:hint="cs"/>
          <w:sz w:val="24"/>
          <w:szCs w:val="24"/>
          <w:rtl/>
        </w:rPr>
        <w:t>תבוטל דרישת החתימה גם ב</w:t>
      </w:r>
      <w:r w:rsidR="007A72AE">
        <w:rPr>
          <w:rFonts w:cs="David" w:hint="cs"/>
          <w:sz w:val="24"/>
          <w:szCs w:val="24"/>
          <w:rtl/>
        </w:rPr>
        <w:t>תקנות הבאות:</w:t>
      </w:r>
    </w:p>
    <w:p w:rsidR="007A72AE" w:rsidRDefault="007A72AE" w:rsidP="007A72AE">
      <w:pPr>
        <w:pStyle w:val="a6"/>
        <w:numPr>
          <w:ilvl w:val="0"/>
          <w:numId w:val="33"/>
        </w:numPr>
        <w:ind w:left="793"/>
        <w:jc w:val="both"/>
        <w:rPr>
          <w:rFonts w:cs="David"/>
          <w:sz w:val="24"/>
          <w:szCs w:val="24"/>
        </w:rPr>
      </w:pPr>
      <w:r>
        <w:rPr>
          <w:rFonts w:cs="David" w:hint="cs"/>
          <w:sz w:val="24"/>
          <w:szCs w:val="24"/>
          <w:rtl/>
        </w:rPr>
        <w:t>תקנה 78 לפיה דרישה לציון שם ממציא תוגש בכתב ותהיה "חתומה על ידי המבקש".</w:t>
      </w:r>
    </w:p>
    <w:p w:rsidR="00034080" w:rsidRPr="00034080" w:rsidRDefault="00034080" w:rsidP="007A72AE">
      <w:pPr>
        <w:pStyle w:val="a6"/>
        <w:numPr>
          <w:ilvl w:val="0"/>
          <w:numId w:val="33"/>
        </w:numPr>
        <w:ind w:left="793"/>
        <w:jc w:val="both"/>
        <w:rPr>
          <w:rFonts w:cs="David"/>
          <w:sz w:val="24"/>
          <w:szCs w:val="24"/>
        </w:rPr>
      </w:pPr>
      <w:r w:rsidRPr="00034080">
        <w:rPr>
          <w:rFonts w:cs="David" w:hint="cs"/>
          <w:sz w:val="24"/>
          <w:szCs w:val="24"/>
          <w:rtl/>
        </w:rPr>
        <w:t xml:space="preserve">תקנה 147 </w:t>
      </w:r>
      <w:r w:rsidR="007A72AE">
        <w:rPr>
          <w:rFonts w:cs="David" w:hint="cs"/>
          <w:sz w:val="24"/>
          <w:szCs w:val="24"/>
          <w:rtl/>
        </w:rPr>
        <w:t>שקובעת</w:t>
      </w:r>
      <w:r w:rsidRPr="00034080">
        <w:rPr>
          <w:rFonts w:cs="David" w:hint="cs"/>
          <w:sz w:val="24"/>
          <w:szCs w:val="24"/>
          <w:rtl/>
        </w:rPr>
        <w:t xml:space="preserve"> כי בקשה לרישום זכות קניין תוגש לרשם ותהיה "חתומה ביד מקבל ההעברה"</w:t>
      </w:r>
      <w:r>
        <w:rPr>
          <w:rFonts w:cs="David" w:hint="cs"/>
          <w:sz w:val="24"/>
          <w:szCs w:val="24"/>
          <w:rtl/>
        </w:rPr>
        <w:t xml:space="preserve">. </w:t>
      </w:r>
      <w:r w:rsidR="007A72AE">
        <w:rPr>
          <w:rFonts w:cs="David" w:hint="cs"/>
          <w:sz w:val="24"/>
          <w:szCs w:val="24"/>
          <w:rtl/>
        </w:rPr>
        <w:t>לעניין זה מובהר כי מסמך העברת הבעלות על הפטנט עדיין צריך להיות חתום וביטול דרישת החתימה חל רק לגבי הבקשה להעברת הבעלות המוגשת לרשם.</w:t>
      </w:r>
    </w:p>
    <w:p w:rsidR="007F46E6" w:rsidRDefault="007F46E6" w:rsidP="007C0442">
      <w:pPr>
        <w:pStyle w:val="a6"/>
        <w:numPr>
          <w:ilvl w:val="0"/>
          <w:numId w:val="25"/>
        </w:numPr>
        <w:jc w:val="both"/>
        <w:rPr>
          <w:rFonts w:cs="David"/>
          <w:sz w:val="24"/>
          <w:szCs w:val="24"/>
        </w:rPr>
      </w:pPr>
      <w:r w:rsidRPr="00C367D2">
        <w:rPr>
          <w:rFonts w:cs="David" w:hint="cs"/>
          <w:b/>
          <w:bCs/>
          <w:sz w:val="24"/>
          <w:szCs w:val="24"/>
          <w:rtl/>
        </w:rPr>
        <w:t>הגשה בהתקן מחשב (תקנה 11(ב) המוצעת)</w:t>
      </w:r>
      <w:r w:rsidRPr="00C367D2">
        <w:rPr>
          <w:rFonts w:cs="David" w:hint="cs"/>
          <w:sz w:val="24"/>
          <w:szCs w:val="24"/>
          <w:rtl/>
        </w:rPr>
        <w:t>: מוצע לקבוע חובה</w:t>
      </w:r>
      <w:r w:rsidR="007C0442">
        <w:rPr>
          <w:rFonts w:cs="David" w:hint="cs"/>
          <w:sz w:val="24"/>
          <w:szCs w:val="24"/>
          <w:rtl/>
        </w:rPr>
        <w:t xml:space="preserve"> </w:t>
      </w:r>
      <w:r w:rsidRPr="00C367D2">
        <w:rPr>
          <w:rFonts w:cs="David" w:hint="cs"/>
          <w:sz w:val="24"/>
          <w:szCs w:val="24"/>
          <w:rtl/>
        </w:rPr>
        <w:t>להגיש יחד עם הגשה בנייר גם דיסק מחשב שצרוב עליו החומר המוגש בנייר</w:t>
      </w:r>
      <w:r w:rsidR="00E60346">
        <w:rPr>
          <w:rFonts w:cs="David" w:hint="cs"/>
          <w:sz w:val="24"/>
          <w:szCs w:val="24"/>
          <w:rtl/>
        </w:rPr>
        <w:t>,</w:t>
      </w:r>
      <w:r w:rsidRPr="00C367D2">
        <w:rPr>
          <w:rFonts w:cs="David" w:hint="cs"/>
          <w:sz w:val="24"/>
          <w:szCs w:val="24"/>
          <w:rtl/>
        </w:rPr>
        <w:t xml:space="preserve"> כמפורט בסעיף הבא. </w:t>
      </w:r>
    </w:p>
    <w:p w:rsidR="00C14330" w:rsidRPr="004851EA" w:rsidRDefault="00C14330" w:rsidP="00C14330">
      <w:pPr>
        <w:pStyle w:val="a6"/>
        <w:ind w:left="360"/>
        <w:jc w:val="both"/>
        <w:rPr>
          <w:rFonts w:cs="David"/>
          <w:sz w:val="16"/>
          <w:szCs w:val="16"/>
          <w:rtl/>
        </w:rPr>
      </w:pPr>
    </w:p>
    <w:p w:rsidR="00C90626" w:rsidRPr="007F46E6" w:rsidRDefault="00C90626" w:rsidP="007F46E6">
      <w:pPr>
        <w:pStyle w:val="a6"/>
        <w:numPr>
          <w:ilvl w:val="0"/>
          <w:numId w:val="8"/>
        </w:numPr>
        <w:jc w:val="both"/>
        <w:rPr>
          <w:rFonts w:cs="David"/>
          <w:b/>
          <w:bCs/>
          <w:sz w:val="24"/>
          <w:szCs w:val="24"/>
          <w:rtl/>
        </w:rPr>
      </w:pPr>
      <w:r w:rsidRPr="007F46E6">
        <w:rPr>
          <w:rFonts w:cs="David" w:hint="cs"/>
          <w:b/>
          <w:bCs/>
          <w:sz w:val="24"/>
          <w:szCs w:val="24"/>
          <w:rtl/>
        </w:rPr>
        <w:t>הגשה ב</w:t>
      </w:r>
      <w:r w:rsidR="00F10E7C" w:rsidRPr="007F46E6">
        <w:rPr>
          <w:rFonts w:cs="David" w:hint="cs"/>
          <w:b/>
          <w:bCs/>
          <w:sz w:val="24"/>
          <w:szCs w:val="24"/>
          <w:rtl/>
        </w:rPr>
        <w:t xml:space="preserve">התקן </w:t>
      </w:r>
      <w:r w:rsidR="00FE5A26">
        <w:rPr>
          <w:rFonts w:cs="David" w:hint="cs"/>
          <w:b/>
          <w:bCs/>
          <w:sz w:val="24"/>
          <w:szCs w:val="24"/>
          <w:rtl/>
        </w:rPr>
        <w:t xml:space="preserve">המשמש לאחסון חומר </w:t>
      </w:r>
      <w:r w:rsidR="00F10E7C" w:rsidRPr="007F46E6">
        <w:rPr>
          <w:rFonts w:cs="David" w:hint="cs"/>
          <w:b/>
          <w:bCs/>
          <w:sz w:val="24"/>
          <w:szCs w:val="24"/>
          <w:rtl/>
        </w:rPr>
        <w:t>מחשב</w:t>
      </w:r>
      <w:r w:rsidR="00C62AB8">
        <w:rPr>
          <w:rFonts w:cs="David" w:hint="cs"/>
          <w:b/>
          <w:bCs/>
          <w:sz w:val="24"/>
          <w:szCs w:val="24"/>
          <w:rtl/>
        </w:rPr>
        <w:t xml:space="preserve"> (תקנות 11(ב),</w:t>
      </w:r>
      <w:r w:rsidR="00183558">
        <w:rPr>
          <w:rFonts w:cs="David" w:hint="cs"/>
          <w:b/>
          <w:bCs/>
          <w:sz w:val="24"/>
          <w:szCs w:val="24"/>
          <w:rtl/>
        </w:rPr>
        <w:t xml:space="preserve"> 11(ג),</w:t>
      </w:r>
      <w:r w:rsidR="00C62AB8">
        <w:rPr>
          <w:rFonts w:cs="David" w:hint="cs"/>
          <w:b/>
          <w:bCs/>
          <w:sz w:val="24"/>
          <w:szCs w:val="24"/>
          <w:rtl/>
        </w:rPr>
        <w:t xml:space="preserve"> 31 והתאמות נוספות)</w:t>
      </w:r>
    </w:p>
    <w:p w:rsidR="00183558" w:rsidRDefault="00C367D2" w:rsidP="007C0442">
      <w:pPr>
        <w:pStyle w:val="a6"/>
        <w:numPr>
          <w:ilvl w:val="1"/>
          <w:numId w:val="8"/>
        </w:numPr>
        <w:ind w:left="368"/>
        <w:jc w:val="both"/>
        <w:rPr>
          <w:rFonts w:cs="David"/>
          <w:sz w:val="24"/>
          <w:szCs w:val="24"/>
        </w:rPr>
      </w:pPr>
      <w:r w:rsidRPr="00183558">
        <w:rPr>
          <w:rFonts w:cs="David" w:hint="cs"/>
          <w:b/>
          <w:bCs/>
          <w:sz w:val="24"/>
          <w:szCs w:val="24"/>
          <w:rtl/>
        </w:rPr>
        <w:t>בתקנה 11(ב) המוצעת</w:t>
      </w:r>
      <w:r w:rsidR="00183558">
        <w:rPr>
          <w:rFonts w:cs="David" w:hint="cs"/>
          <w:sz w:val="24"/>
          <w:szCs w:val="24"/>
          <w:rtl/>
        </w:rPr>
        <w:t xml:space="preserve"> </w:t>
      </w:r>
      <w:r w:rsidR="00183558">
        <w:rPr>
          <w:rFonts w:cs="David"/>
          <w:sz w:val="24"/>
          <w:szCs w:val="24"/>
          <w:rtl/>
        </w:rPr>
        <w:t>–</w:t>
      </w:r>
      <w:r w:rsidR="00183558">
        <w:rPr>
          <w:rFonts w:cs="David" w:hint="cs"/>
          <w:sz w:val="24"/>
          <w:szCs w:val="24"/>
          <w:rtl/>
        </w:rPr>
        <w:t xml:space="preserve"> </w:t>
      </w:r>
      <w:r w:rsidR="00F10E7C" w:rsidRPr="00183558">
        <w:rPr>
          <w:rFonts w:cs="David" w:hint="cs"/>
          <w:sz w:val="24"/>
          <w:szCs w:val="24"/>
          <w:rtl/>
        </w:rPr>
        <w:t xml:space="preserve">מוצע לקבוע חובה להגיש במקרים מסוימים יחד עם הגשה בנייר גם </w:t>
      </w:r>
      <w:r w:rsidR="00DB563E">
        <w:rPr>
          <w:rFonts w:cs="David" w:hint="cs"/>
          <w:sz w:val="24"/>
          <w:szCs w:val="24"/>
          <w:rtl/>
        </w:rPr>
        <w:t xml:space="preserve">התקן המשמש לאחסון </w:t>
      </w:r>
      <w:r w:rsidR="00FE5A26">
        <w:rPr>
          <w:rFonts w:cs="David" w:hint="cs"/>
          <w:sz w:val="24"/>
          <w:szCs w:val="24"/>
          <w:rtl/>
        </w:rPr>
        <w:t>חומר מחשב</w:t>
      </w:r>
      <w:r w:rsidR="00DB563E">
        <w:rPr>
          <w:rFonts w:cs="David" w:hint="cs"/>
          <w:sz w:val="24"/>
          <w:szCs w:val="24"/>
          <w:rtl/>
        </w:rPr>
        <w:t>, כגון</w:t>
      </w:r>
      <w:r w:rsidR="00FE5A26">
        <w:rPr>
          <w:rFonts w:cs="David" w:hint="cs"/>
          <w:sz w:val="24"/>
          <w:szCs w:val="24"/>
          <w:rtl/>
        </w:rPr>
        <w:t xml:space="preserve"> </w:t>
      </w:r>
      <w:r w:rsidR="00FE5A26">
        <w:rPr>
          <w:rFonts w:cs="David"/>
          <w:sz w:val="24"/>
          <w:szCs w:val="24"/>
        </w:rPr>
        <w:t>CD</w:t>
      </w:r>
      <w:r w:rsidR="00DB563E">
        <w:rPr>
          <w:rFonts w:cs="David" w:hint="cs"/>
          <w:sz w:val="24"/>
          <w:szCs w:val="24"/>
          <w:rtl/>
        </w:rPr>
        <w:t xml:space="preserve"> </w:t>
      </w:r>
      <w:r w:rsidR="00FE5A26">
        <w:rPr>
          <w:rFonts w:cs="David" w:hint="cs"/>
          <w:sz w:val="24"/>
          <w:szCs w:val="24"/>
          <w:rtl/>
        </w:rPr>
        <w:t xml:space="preserve">או </w:t>
      </w:r>
      <w:r w:rsidR="00FE5A26">
        <w:rPr>
          <w:rFonts w:cs="David"/>
          <w:sz w:val="24"/>
          <w:szCs w:val="24"/>
        </w:rPr>
        <w:t>DVD</w:t>
      </w:r>
      <w:r w:rsidR="00F10E7C" w:rsidRPr="00183558">
        <w:rPr>
          <w:rFonts w:cs="David" w:hint="cs"/>
          <w:sz w:val="24"/>
          <w:szCs w:val="24"/>
          <w:rtl/>
        </w:rPr>
        <w:t xml:space="preserve"> שצרוב עליו החומר המוגש בנייר </w:t>
      </w:r>
      <w:r w:rsidR="00F10E7C" w:rsidRPr="00183558">
        <w:rPr>
          <w:rFonts w:cs="David"/>
          <w:sz w:val="24"/>
          <w:szCs w:val="24"/>
          <w:rtl/>
        </w:rPr>
        <w:t>–</w:t>
      </w:r>
      <w:r w:rsidR="00F10E7C" w:rsidRPr="00183558">
        <w:rPr>
          <w:rFonts w:cs="David" w:hint="cs"/>
          <w:sz w:val="24"/>
          <w:szCs w:val="24"/>
          <w:rtl/>
        </w:rPr>
        <w:t xml:space="preserve"> זאת במטרה להקל </w:t>
      </w:r>
      <w:r w:rsidR="001D4CEC" w:rsidRPr="00183558">
        <w:rPr>
          <w:rFonts w:cs="David" w:hint="cs"/>
          <w:sz w:val="24"/>
          <w:szCs w:val="24"/>
          <w:rtl/>
        </w:rPr>
        <w:t>על עומס ה</w:t>
      </w:r>
      <w:r w:rsidR="00F10E7C" w:rsidRPr="00183558">
        <w:rPr>
          <w:rFonts w:cs="David" w:hint="cs"/>
          <w:sz w:val="24"/>
          <w:szCs w:val="24"/>
          <w:rtl/>
        </w:rPr>
        <w:t xml:space="preserve">עבודה </w:t>
      </w:r>
      <w:r w:rsidR="001D4CEC" w:rsidRPr="00183558">
        <w:rPr>
          <w:rFonts w:cs="David" w:hint="cs"/>
          <w:sz w:val="24"/>
          <w:szCs w:val="24"/>
          <w:rtl/>
        </w:rPr>
        <w:t>ב</w:t>
      </w:r>
      <w:r w:rsidR="00F10E7C" w:rsidRPr="00183558">
        <w:rPr>
          <w:rFonts w:cs="David" w:hint="cs"/>
          <w:sz w:val="24"/>
          <w:szCs w:val="24"/>
          <w:rtl/>
        </w:rPr>
        <w:t xml:space="preserve">רשות שלא תיאלץ לסרוק את המסמכים המוגשים בנייר. לעמדת הרשות, הדרישה מציבור המגישים במקרה זה אינה מכבידה, מאחר שהמסמכים המוגשים לרשות ממילא נכתבים במחשב ורק נדרש </w:t>
      </w:r>
      <w:r w:rsidR="0062707A">
        <w:rPr>
          <w:rFonts w:cs="David" w:hint="cs"/>
          <w:sz w:val="24"/>
          <w:szCs w:val="24"/>
          <w:rtl/>
        </w:rPr>
        <w:t>לצרוב</w:t>
      </w:r>
      <w:r w:rsidR="0062707A" w:rsidRPr="00183558">
        <w:rPr>
          <w:rFonts w:cs="David" w:hint="cs"/>
          <w:sz w:val="24"/>
          <w:szCs w:val="24"/>
          <w:rtl/>
        </w:rPr>
        <w:t xml:space="preserve"> </w:t>
      </w:r>
      <w:r w:rsidR="00F10E7C" w:rsidRPr="00183558">
        <w:rPr>
          <w:rFonts w:cs="David" w:hint="cs"/>
          <w:sz w:val="24"/>
          <w:szCs w:val="24"/>
          <w:rtl/>
        </w:rPr>
        <w:t>אותם</w:t>
      </w:r>
      <w:r w:rsidR="0062707A">
        <w:rPr>
          <w:rFonts w:cs="David" w:hint="cs"/>
          <w:sz w:val="24"/>
          <w:szCs w:val="24"/>
          <w:rtl/>
        </w:rPr>
        <w:t xml:space="preserve"> על גבי</w:t>
      </w:r>
      <w:r w:rsidR="00F10E7C" w:rsidRPr="00183558">
        <w:rPr>
          <w:rFonts w:cs="David" w:hint="cs"/>
          <w:sz w:val="24"/>
          <w:szCs w:val="24"/>
          <w:rtl/>
        </w:rPr>
        <w:t xml:space="preserve"> </w:t>
      </w:r>
      <w:r w:rsidR="007C0442">
        <w:rPr>
          <w:rFonts w:cs="David" w:hint="cs"/>
          <w:sz w:val="24"/>
          <w:szCs w:val="24"/>
          <w:rtl/>
        </w:rPr>
        <w:t>הדיסק</w:t>
      </w:r>
      <w:r w:rsidR="00F10E7C" w:rsidRPr="00183558">
        <w:rPr>
          <w:rFonts w:cs="David" w:hint="cs"/>
          <w:sz w:val="24"/>
          <w:szCs w:val="24"/>
          <w:rtl/>
        </w:rPr>
        <w:t xml:space="preserve"> ולצרפו להגשה.</w:t>
      </w:r>
    </w:p>
    <w:p w:rsidR="00F10E7C" w:rsidRPr="00183558" w:rsidRDefault="00F10E7C" w:rsidP="00E94365">
      <w:pPr>
        <w:pStyle w:val="a6"/>
        <w:ind w:left="368"/>
        <w:jc w:val="both"/>
        <w:rPr>
          <w:rFonts w:cs="David"/>
          <w:sz w:val="24"/>
          <w:szCs w:val="24"/>
          <w:rtl/>
        </w:rPr>
      </w:pPr>
      <w:r w:rsidRPr="00183558">
        <w:rPr>
          <w:rFonts w:cs="David" w:hint="cs"/>
          <w:sz w:val="24"/>
          <w:szCs w:val="24"/>
          <w:rtl/>
        </w:rPr>
        <w:t xml:space="preserve">מוצע לדרוש את ההגשה </w:t>
      </w:r>
      <w:r w:rsidR="00E94365">
        <w:rPr>
          <w:rFonts w:cs="David" w:hint="cs"/>
          <w:sz w:val="24"/>
          <w:szCs w:val="24"/>
          <w:rtl/>
        </w:rPr>
        <w:t>על גבי התקן</w:t>
      </w:r>
      <w:r w:rsidR="007C0442">
        <w:rPr>
          <w:rFonts w:cs="David" w:hint="cs"/>
          <w:sz w:val="24"/>
          <w:szCs w:val="24"/>
          <w:rtl/>
        </w:rPr>
        <w:t xml:space="preserve"> מחשב</w:t>
      </w:r>
      <w:r w:rsidR="00E94365" w:rsidRPr="00183558">
        <w:rPr>
          <w:rFonts w:cs="David" w:hint="cs"/>
          <w:sz w:val="24"/>
          <w:szCs w:val="24"/>
          <w:rtl/>
        </w:rPr>
        <w:t xml:space="preserve"> </w:t>
      </w:r>
      <w:r w:rsidR="00C367D2" w:rsidRPr="00183558">
        <w:rPr>
          <w:rFonts w:cs="David" w:hint="cs"/>
          <w:sz w:val="24"/>
          <w:szCs w:val="24"/>
          <w:rtl/>
        </w:rPr>
        <w:t xml:space="preserve">לצד </w:t>
      </w:r>
      <w:r w:rsidR="00410DB4" w:rsidRPr="00183558">
        <w:rPr>
          <w:rFonts w:cs="David" w:hint="cs"/>
          <w:sz w:val="24"/>
          <w:szCs w:val="24"/>
          <w:rtl/>
        </w:rPr>
        <w:t xml:space="preserve">הגשת מסמכים בנייר </w:t>
      </w:r>
      <w:r w:rsidRPr="00183558">
        <w:rPr>
          <w:rFonts w:cs="David" w:hint="cs"/>
          <w:sz w:val="24"/>
          <w:szCs w:val="24"/>
          <w:rtl/>
        </w:rPr>
        <w:t>במקרים הבאים</w:t>
      </w:r>
      <w:r w:rsidR="00C367D2" w:rsidRPr="00183558">
        <w:rPr>
          <w:rFonts w:cs="David" w:hint="cs"/>
          <w:sz w:val="24"/>
          <w:szCs w:val="24"/>
          <w:rtl/>
        </w:rPr>
        <w:t>, שנבחרו על ידי הרשות מאחר שאלו הליכים שבהם מוגשים מסמכים בהיקף רחב יחסית</w:t>
      </w:r>
      <w:r w:rsidR="001F1DF0" w:rsidRPr="00183558">
        <w:rPr>
          <w:rFonts w:cs="David" w:hint="cs"/>
          <w:sz w:val="24"/>
          <w:szCs w:val="24"/>
          <w:rtl/>
        </w:rPr>
        <w:t>:</w:t>
      </w:r>
    </w:p>
    <w:p w:rsidR="00F10E7C" w:rsidRPr="00C14330" w:rsidRDefault="00410DB4" w:rsidP="00C14330">
      <w:pPr>
        <w:pStyle w:val="a6"/>
        <w:numPr>
          <w:ilvl w:val="0"/>
          <w:numId w:val="26"/>
        </w:numPr>
        <w:jc w:val="both"/>
        <w:rPr>
          <w:rFonts w:cs="David"/>
          <w:sz w:val="24"/>
          <w:szCs w:val="24"/>
        </w:rPr>
      </w:pPr>
      <w:r w:rsidRPr="00C14330">
        <w:rPr>
          <w:rFonts w:cs="David" w:hint="cs"/>
          <w:sz w:val="24"/>
          <w:szCs w:val="24"/>
          <w:rtl/>
        </w:rPr>
        <w:t xml:space="preserve">הגשת </w:t>
      </w:r>
      <w:r w:rsidR="00F10E7C" w:rsidRPr="00C14330">
        <w:rPr>
          <w:rFonts w:cs="David" w:hint="cs"/>
          <w:sz w:val="24"/>
          <w:szCs w:val="24"/>
          <w:rtl/>
        </w:rPr>
        <w:t xml:space="preserve">בקשת פטנט </w:t>
      </w:r>
      <w:r w:rsidR="00F10E7C" w:rsidRPr="00C14330">
        <w:rPr>
          <w:rFonts w:cs="David"/>
          <w:sz w:val="24"/>
          <w:szCs w:val="24"/>
          <w:rtl/>
        </w:rPr>
        <w:t>–</w:t>
      </w:r>
      <w:r w:rsidR="00F10E7C" w:rsidRPr="00C14330">
        <w:rPr>
          <w:rFonts w:cs="David" w:hint="cs"/>
          <w:sz w:val="24"/>
          <w:szCs w:val="24"/>
          <w:rtl/>
        </w:rPr>
        <w:t xml:space="preserve"> נדרש </w:t>
      </w:r>
      <w:r w:rsidR="00FE5A26">
        <w:rPr>
          <w:rFonts w:cs="David" w:hint="cs"/>
          <w:sz w:val="24"/>
          <w:szCs w:val="24"/>
          <w:rtl/>
        </w:rPr>
        <w:t xml:space="preserve">כבר כיום </w:t>
      </w:r>
      <w:r w:rsidR="00F10E7C" w:rsidRPr="00C14330">
        <w:rPr>
          <w:rFonts w:cs="David" w:hint="cs"/>
          <w:sz w:val="24"/>
          <w:szCs w:val="24"/>
          <w:rtl/>
        </w:rPr>
        <w:t>לפי סעיף 11(א) לחוק.</w:t>
      </w:r>
    </w:p>
    <w:p w:rsidR="00F10E7C" w:rsidRDefault="00F10E7C" w:rsidP="00F10E7C">
      <w:pPr>
        <w:pStyle w:val="a6"/>
        <w:numPr>
          <w:ilvl w:val="0"/>
          <w:numId w:val="26"/>
        </w:numPr>
        <w:jc w:val="both"/>
        <w:rPr>
          <w:rFonts w:cs="David"/>
          <w:sz w:val="24"/>
          <w:szCs w:val="24"/>
        </w:rPr>
      </w:pPr>
      <w:r>
        <w:rPr>
          <w:rFonts w:cs="David" w:hint="cs"/>
          <w:sz w:val="24"/>
          <w:szCs w:val="24"/>
          <w:rtl/>
        </w:rPr>
        <w:t xml:space="preserve">הליך על ריב </w:t>
      </w:r>
      <w:r>
        <w:rPr>
          <w:rFonts w:cs="David"/>
          <w:sz w:val="24"/>
          <w:szCs w:val="24"/>
          <w:rtl/>
        </w:rPr>
        <w:t>–</w:t>
      </w:r>
      <w:r>
        <w:rPr>
          <w:rFonts w:cs="David" w:hint="cs"/>
          <w:sz w:val="24"/>
          <w:szCs w:val="24"/>
          <w:rtl/>
        </w:rPr>
        <w:t xml:space="preserve"> כל הליך שמופיעים בו שני צדדים יריבים בפני הרשם.</w:t>
      </w:r>
    </w:p>
    <w:p w:rsidR="00410DB4" w:rsidRDefault="00F10E7C" w:rsidP="00E60346">
      <w:pPr>
        <w:pStyle w:val="a6"/>
        <w:numPr>
          <w:ilvl w:val="0"/>
          <w:numId w:val="26"/>
        </w:numPr>
        <w:jc w:val="both"/>
        <w:rPr>
          <w:rFonts w:cs="David"/>
          <w:sz w:val="24"/>
          <w:szCs w:val="24"/>
        </w:rPr>
      </w:pPr>
      <w:r>
        <w:rPr>
          <w:rFonts w:cs="David" w:hint="cs"/>
          <w:sz w:val="24"/>
          <w:szCs w:val="24"/>
          <w:rtl/>
        </w:rPr>
        <w:t xml:space="preserve">הליך לפי תקנה 46 </w:t>
      </w:r>
      <w:r w:rsidR="00037237">
        <w:rPr>
          <w:rFonts w:cs="David"/>
          <w:sz w:val="24"/>
          <w:szCs w:val="24"/>
          <w:rtl/>
        </w:rPr>
        <w:t>–</w:t>
      </w:r>
      <w:r>
        <w:rPr>
          <w:rFonts w:cs="David" w:hint="cs"/>
          <w:sz w:val="24"/>
          <w:szCs w:val="24"/>
          <w:rtl/>
        </w:rPr>
        <w:t xml:space="preserve"> </w:t>
      </w:r>
      <w:r w:rsidR="00037237">
        <w:rPr>
          <w:rFonts w:cs="David" w:hint="cs"/>
          <w:sz w:val="24"/>
          <w:szCs w:val="24"/>
          <w:rtl/>
        </w:rPr>
        <w:t>בקשה להשמיע טענות בפני הרשם</w:t>
      </w:r>
      <w:r w:rsidR="00C367D2">
        <w:rPr>
          <w:rFonts w:cs="David" w:hint="cs"/>
          <w:sz w:val="24"/>
          <w:szCs w:val="24"/>
          <w:rtl/>
        </w:rPr>
        <w:t xml:space="preserve"> על החלטת בוחן</w:t>
      </w:r>
      <w:r w:rsidR="00205F78">
        <w:rPr>
          <w:rFonts w:cs="David" w:hint="cs"/>
          <w:sz w:val="24"/>
          <w:szCs w:val="24"/>
          <w:rtl/>
        </w:rPr>
        <w:t xml:space="preserve"> פטנטים</w:t>
      </w:r>
      <w:r w:rsidR="00037237">
        <w:rPr>
          <w:rFonts w:cs="David" w:hint="cs"/>
          <w:sz w:val="24"/>
          <w:szCs w:val="24"/>
          <w:rtl/>
        </w:rPr>
        <w:t xml:space="preserve"> במהלך </w:t>
      </w:r>
      <w:r w:rsidR="000C5456">
        <w:rPr>
          <w:rFonts w:cs="David" w:hint="cs"/>
          <w:sz w:val="24"/>
          <w:szCs w:val="24"/>
          <w:rtl/>
        </w:rPr>
        <w:t>הליך הבחינה (לאחר מתן הודעה על ליקויים על ידי הבוחן</w:t>
      </w:r>
      <w:r w:rsidR="00205F78">
        <w:rPr>
          <w:rFonts w:cs="David" w:hint="cs"/>
          <w:sz w:val="24"/>
          <w:szCs w:val="24"/>
          <w:rtl/>
        </w:rPr>
        <w:t xml:space="preserve"> לפי תקנות 41 ו-43</w:t>
      </w:r>
      <w:r w:rsidR="000C5456">
        <w:rPr>
          <w:rFonts w:cs="David" w:hint="cs"/>
          <w:sz w:val="24"/>
          <w:szCs w:val="24"/>
          <w:rtl/>
        </w:rPr>
        <w:t xml:space="preserve"> או לאחר שהבוחן סירב לבקשת פטנט</w:t>
      </w:r>
      <w:r w:rsidR="00205F78">
        <w:rPr>
          <w:rFonts w:cs="David" w:hint="cs"/>
          <w:sz w:val="24"/>
          <w:szCs w:val="24"/>
          <w:rtl/>
        </w:rPr>
        <w:t xml:space="preserve"> לפי תקנה 45</w:t>
      </w:r>
      <w:r w:rsidR="000C5456">
        <w:rPr>
          <w:rFonts w:cs="David" w:hint="cs"/>
          <w:sz w:val="24"/>
          <w:szCs w:val="24"/>
          <w:rtl/>
        </w:rPr>
        <w:t>).</w:t>
      </w:r>
    </w:p>
    <w:p w:rsidR="00037237" w:rsidRPr="00215A2F" w:rsidRDefault="00037237" w:rsidP="00215A2F">
      <w:pPr>
        <w:pStyle w:val="a6"/>
        <w:numPr>
          <w:ilvl w:val="0"/>
          <w:numId w:val="26"/>
        </w:numPr>
        <w:jc w:val="both"/>
        <w:rPr>
          <w:rFonts w:cs="David"/>
          <w:sz w:val="24"/>
          <w:szCs w:val="24"/>
        </w:rPr>
      </w:pPr>
      <w:r>
        <w:rPr>
          <w:rFonts w:cs="David" w:hint="cs"/>
          <w:sz w:val="24"/>
          <w:szCs w:val="24"/>
          <w:rtl/>
        </w:rPr>
        <w:t xml:space="preserve">הליך לפי תקנה 150 </w:t>
      </w:r>
      <w:r>
        <w:rPr>
          <w:rFonts w:cs="David"/>
          <w:sz w:val="24"/>
          <w:szCs w:val="24"/>
          <w:rtl/>
        </w:rPr>
        <w:t>–</w:t>
      </w:r>
      <w:r>
        <w:rPr>
          <w:rFonts w:cs="David" w:hint="cs"/>
          <w:sz w:val="24"/>
          <w:szCs w:val="24"/>
          <w:rtl/>
        </w:rPr>
        <w:t xml:space="preserve"> השגה על </w:t>
      </w:r>
      <w:r w:rsidR="00990D22" w:rsidRPr="00215A2F">
        <w:rPr>
          <w:rFonts w:cs="David" w:hint="cs"/>
          <w:sz w:val="24"/>
          <w:szCs w:val="24"/>
          <w:rtl/>
        </w:rPr>
        <w:t>החלט</w:t>
      </w:r>
      <w:r w:rsidR="00215A2F">
        <w:rPr>
          <w:rFonts w:cs="David" w:hint="cs"/>
          <w:sz w:val="24"/>
          <w:szCs w:val="24"/>
          <w:rtl/>
        </w:rPr>
        <w:t>ת</w:t>
      </w:r>
      <w:r w:rsidR="00FE5A26" w:rsidRPr="00215A2F">
        <w:rPr>
          <w:rFonts w:cs="David" w:hint="cs"/>
          <w:sz w:val="24"/>
          <w:szCs w:val="24"/>
          <w:rtl/>
        </w:rPr>
        <w:t xml:space="preserve"> </w:t>
      </w:r>
      <w:r w:rsidRPr="00215A2F">
        <w:rPr>
          <w:rFonts w:cs="David" w:hint="cs"/>
          <w:sz w:val="24"/>
          <w:szCs w:val="24"/>
          <w:rtl/>
        </w:rPr>
        <w:t xml:space="preserve">בוחן </w:t>
      </w:r>
      <w:r w:rsidR="000C5456" w:rsidRPr="00215A2F">
        <w:rPr>
          <w:rFonts w:cs="David" w:hint="cs"/>
          <w:sz w:val="24"/>
          <w:szCs w:val="24"/>
          <w:rtl/>
        </w:rPr>
        <w:t xml:space="preserve">שלא במסגרת הליך בחינת בקשת פטנט (למשל </w:t>
      </w:r>
      <w:r w:rsidR="000C5456" w:rsidRPr="00215A2F">
        <w:rPr>
          <w:rFonts w:cs="David"/>
          <w:sz w:val="24"/>
          <w:szCs w:val="24"/>
          <w:rtl/>
        </w:rPr>
        <w:t>–</w:t>
      </w:r>
      <w:r w:rsidR="000C5456" w:rsidRPr="00215A2F">
        <w:rPr>
          <w:rFonts w:cs="David" w:hint="cs"/>
          <w:sz w:val="24"/>
          <w:szCs w:val="24"/>
          <w:rtl/>
        </w:rPr>
        <w:t xml:space="preserve"> </w:t>
      </w:r>
      <w:r w:rsidR="00C367D2" w:rsidRPr="00215A2F">
        <w:rPr>
          <w:rFonts w:cs="David" w:hint="cs"/>
          <w:sz w:val="24"/>
          <w:szCs w:val="24"/>
          <w:rtl/>
        </w:rPr>
        <w:t xml:space="preserve"> </w:t>
      </w:r>
      <w:r w:rsidR="00215A2F">
        <w:rPr>
          <w:rFonts w:cs="David" w:hint="cs"/>
          <w:sz w:val="24"/>
          <w:szCs w:val="24"/>
          <w:rtl/>
        </w:rPr>
        <w:t>החלטה</w:t>
      </w:r>
      <w:r w:rsidR="002841AD" w:rsidRPr="00215A2F">
        <w:rPr>
          <w:rFonts w:cs="David" w:hint="cs"/>
          <w:sz w:val="24"/>
          <w:szCs w:val="24"/>
          <w:rtl/>
        </w:rPr>
        <w:t xml:space="preserve"> בבקשה לתיקון פירוט לאחר שכבר ניתן פטנט</w:t>
      </w:r>
      <w:r w:rsidR="00C367D2" w:rsidRPr="00215A2F">
        <w:rPr>
          <w:rFonts w:cs="David" w:hint="cs"/>
          <w:sz w:val="24"/>
          <w:szCs w:val="24"/>
          <w:rtl/>
        </w:rPr>
        <w:t>)</w:t>
      </w:r>
      <w:r w:rsidR="00833A5F" w:rsidRPr="00215A2F">
        <w:rPr>
          <w:rFonts w:cs="David" w:hint="cs"/>
          <w:sz w:val="24"/>
          <w:szCs w:val="24"/>
          <w:rtl/>
        </w:rPr>
        <w:t xml:space="preserve"> וכן השגה על החלטות שונות במהלך בחינת פטנט שאינן החלטה סופית על סירוב בשל ליקויים מהותיים</w:t>
      </w:r>
      <w:r w:rsidR="00C367D2" w:rsidRPr="00215A2F">
        <w:rPr>
          <w:rFonts w:cs="David" w:hint="cs"/>
          <w:sz w:val="24"/>
          <w:szCs w:val="24"/>
          <w:rtl/>
        </w:rPr>
        <w:t>.</w:t>
      </w:r>
      <w:r w:rsidR="007C0442" w:rsidRPr="00215A2F">
        <w:rPr>
          <w:rFonts w:cs="David" w:hint="cs"/>
          <w:sz w:val="24"/>
          <w:szCs w:val="24"/>
          <w:rtl/>
        </w:rPr>
        <w:t xml:space="preserve"> </w:t>
      </w:r>
    </w:p>
    <w:p w:rsidR="00C367D2" w:rsidRDefault="00C367D2" w:rsidP="00C367D2">
      <w:pPr>
        <w:pStyle w:val="a6"/>
        <w:numPr>
          <w:ilvl w:val="0"/>
          <w:numId w:val="26"/>
        </w:numPr>
        <w:jc w:val="both"/>
        <w:rPr>
          <w:rFonts w:cs="David"/>
          <w:sz w:val="24"/>
          <w:szCs w:val="24"/>
        </w:rPr>
      </w:pPr>
      <w:r>
        <w:rPr>
          <w:rFonts w:cs="David" w:hint="cs"/>
          <w:sz w:val="24"/>
          <w:szCs w:val="24"/>
          <w:rtl/>
        </w:rPr>
        <w:t xml:space="preserve">הליך לפי פרק 12 לתקנות </w:t>
      </w:r>
      <w:r>
        <w:rPr>
          <w:rFonts w:cs="David"/>
          <w:sz w:val="24"/>
          <w:szCs w:val="24"/>
          <w:rtl/>
        </w:rPr>
        <w:t>–</w:t>
      </w:r>
      <w:r>
        <w:rPr>
          <w:rFonts w:cs="David" w:hint="cs"/>
          <w:sz w:val="24"/>
          <w:szCs w:val="24"/>
          <w:rtl/>
        </w:rPr>
        <w:t xml:space="preserve"> הליך בפני ועדת ערר והליך בפני הוועדה לפיצויים ותמלוגים.</w:t>
      </w:r>
    </w:p>
    <w:p w:rsidR="00C367D2" w:rsidRDefault="00C367D2" w:rsidP="00EB0B32">
      <w:pPr>
        <w:pStyle w:val="a6"/>
        <w:numPr>
          <w:ilvl w:val="0"/>
          <w:numId w:val="26"/>
        </w:numPr>
        <w:jc w:val="both"/>
        <w:rPr>
          <w:rFonts w:cs="David"/>
          <w:sz w:val="24"/>
          <w:szCs w:val="24"/>
        </w:rPr>
      </w:pPr>
      <w:r>
        <w:rPr>
          <w:rFonts w:cs="David" w:hint="cs"/>
          <w:sz w:val="24"/>
          <w:szCs w:val="24"/>
          <w:rtl/>
        </w:rPr>
        <w:t>תקנה 22</w:t>
      </w:r>
      <w:r w:rsidR="00205F78">
        <w:rPr>
          <w:rFonts w:cs="David" w:hint="cs"/>
          <w:sz w:val="24"/>
          <w:szCs w:val="24"/>
          <w:rtl/>
        </w:rPr>
        <w:t xml:space="preserve"> </w:t>
      </w:r>
      <w:r w:rsidR="00205F78">
        <w:rPr>
          <w:rFonts w:cs="David"/>
          <w:sz w:val="24"/>
          <w:szCs w:val="24"/>
          <w:rtl/>
        </w:rPr>
        <w:t>–</w:t>
      </w:r>
      <w:r w:rsidR="00205F78">
        <w:rPr>
          <w:rFonts w:cs="David" w:hint="cs"/>
          <w:sz w:val="24"/>
          <w:szCs w:val="24"/>
          <w:rtl/>
        </w:rPr>
        <w:t xml:space="preserve"> </w:t>
      </w:r>
      <w:r w:rsidR="00E60346">
        <w:rPr>
          <w:rFonts w:cs="David" w:hint="cs"/>
          <w:sz w:val="24"/>
          <w:szCs w:val="24"/>
          <w:rtl/>
        </w:rPr>
        <w:t>תיקון</w:t>
      </w:r>
      <w:r w:rsidR="00205F78">
        <w:rPr>
          <w:rFonts w:cs="David" w:hint="cs"/>
          <w:sz w:val="24"/>
          <w:szCs w:val="24"/>
          <w:rtl/>
        </w:rPr>
        <w:t xml:space="preserve"> פירוט פטנט </w:t>
      </w:r>
      <w:r w:rsidR="00EB0B32">
        <w:rPr>
          <w:rFonts w:cs="David" w:hint="cs"/>
          <w:sz w:val="24"/>
          <w:szCs w:val="24"/>
          <w:rtl/>
        </w:rPr>
        <w:t>במהלך בחינת הבקשה לפטנט</w:t>
      </w:r>
      <w:r w:rsidR="00205F78">
        <w:rPr>
          <w:rFonts w:cs="David" w:hint="cs"/>
          <w:sz w:val="24"/>
          <w:szCs w:val="24"/>
          <w:rtl/>
        </w:rPr>
        <w:t>.</w:t>
      </w:r>
    </w:p>
    <w:p w:rsidR="00C367D2" w:rsidRDefault="00C367D2" w:rsidP="007C0442">
      <w:pPr>
        <w:pStyle w:val="a6"/>
        <w:numPr>
          <w:ilvl w:val="0"/>
          <w:numId w:val="26"/>
        </w:numPr>
        <w:jc w:val="both"/>
        <w:rPr>
          <w:rFonts w:cs="David"/>
          <w:sz w:val="24"/>
          <w:szCs w:val="24"/>
        </w:rPr>
      </w:pPr>
      <w:r>
        <w:rPr>
          <w:rFonts w:cs="David" w:hint="cs"/>
          <w:sz w:val="24"/>
          <w:szCs w:val="24"/>
          <w:rtl/>
        </w:rPr>
        <w:t>תקנה 97</w:t>
      </w:r>
      <w:r w:rsidR="00205F78">
        <w:rPr>
          <w:rFonts w:cs="David" w:hint="cs"/>
          <w:sz w:val="24"/>
          <w:szCs w:val="24"/>
          <w:rtl/>
        </w:rPr>
        <w:t xml:space="preserve"> </w:t>
      </w:r>
      <w:r w:rsidR="00205F78">
        <w:rPr>
          <w:rFonts w:cs="David"/>
          <w:sz w:val="24"/>
          <w:szCs w:val="24"/>
          <w:rtl/>
        </w:rPr>
        <w:t>–</w:t>
      </w:r>
      <w:r w:rsidR="00205F78">
        <w:rPr>
          <w:rFonts w:cs="David" w:hint="cs"/>
          <w:sz w:val="24"/>
          <w:szCs w:val="24"/>
          <w:rtl/>
        </w:rPr>
        <w:t xml:space="preserve"> </w:t>
      </w:r>
      <w:r w:rsidR="00E60346">
        <w:rPr>
          <w:rFonts w:cs="David" w:hint="cs"/>
          <w:sz w:val="24"/>
          <w:szCs w:val="24"/>
          <w:rtl/>
        </w:rPr>
        <w:t>בקשה ל</w:t>
      </w:r>
      <w:r w:rsidR="00205F78">
        <w:rPr>
          <w:rFonts w:cs="David" w:hint="cs"/>
          <w:sz w:val="24"/>
          <w:szCs w:val="24"/>
          <w:rtl/>
        </w:rPr>
        <w:t>תיקון פירוט פטנט לאחר</w:t>
      </w:r>
      <w:r w:rsidR="00DB563E">
        <w:rPr>
          <w:rFonts w:cs="David" w:hint="cs"/>
          <w:sz w:val="24"/>
          <w:szCs w:val="24"/>
          <w:rtl/>
        </w:rPr>
        <w:t xml:space="preserve"> סיום הבחינה.</w:t>
      </w:r>
      <w:r w:rsidR="00205F78">
        <w:rPr>
          <w:rFonts w:cs="David" w:hint="cs"/>
          <w:sz w:val="24"/>
          <w:szCs w:val="24"/>
          <w:rtl/>
        </w:rPr>
        <w:t xml:space="preserve"> </w:t>
      </w:r>
    </w:p>
    <w:p w:rsidR="00183558" w:rsidRDefault="00183558" w:rsidP="007C0442">
      <w:pPr>
        <w:pStyle w:val="a6"/>
        <w:numPr>
          <w:ilvl w:val="1"/>
          <w:numId w:val="8"/>
        </w:numPr>
        <w:ind w:left="368"/>
        <w:jc w:val="both"/>
        <w:rPr>
          <w:rFonts w:cs="David"/>
          <w:sz w:val="24"/>
          <w:szCs w:val="24"/>
        </w:rPr>
      </w:pPr>
      <w:r w:rsidRPr="00183558">
        <w:rPr>
          <w:rFonts w:cs="David" w:hint="cs"/>
          <w:b/>
          <w:bCs/>
          <w:sz w:val="24"/>
          <w:szCs w:val="24"/>
          <w:rtl/>
        </w:rPr>
        <w:t>בתקנה 11(ג) המוצעת</w:t>
      </w:r>
      <w:r>
        <w:rPr>
          <w:rFonts w:cs="David" w:hint="cs"/>
          <w:sz w:val="24"/>
          <w:szCs w:val="24"/>
          <w:rtl/>
        </w:rPr>
        <w:t xml:space="preserve"> </w:t>
      </w:r>
      <w:r>
        <w:rPr>
          <w:rFonts w:cs="David"/>
          <w:sz w:val="24"/>
          <w:szCs w:val="24"/>
          <w:rtl/>
        </w:rPr>
        <w:t>–</w:t>
      </w:r>
      <w:r>
        <w:rPr>
          <w:rFonts w:cs="David" w:hint="cs"/>
          <w:sz w:val="24"/>
          <w:szCs w:val="24"/>
          <w:rtl/>
        </w:rPr>
        <w:t xml:space="preserve"> מוצע להחיל על מסמכים המוגשים בהתקן מחשב את הוראות הרשם שנקבעו לפי סעיף 11(א) לחוק. כאמור, הוראות הרשם </w:t>
      </w:r>
      <w:r w:rsidR="00A01724">
        <w:rPr>
          <w:rFonts w:cs="David" w:hint="cs"/>
          <w:sz w:val="24"/>
          <w:szCs w:val="24"/>
          <w:rtl/>
        </w:rPr>
        <w:t xml:space="preserve">בהודעתו </w:t>
      </w:r>
      <w:r>
        <w:rPr>
          <w:rFonts w:cs="David" w:hint="cs"/>
          <w:sz w:val="24"/>
          <w:szCs w:val="24"/>
          <w:rtl/>
        </w:rPr>
        <w:t xml:space="preserve">מיום 25.7.2012 הן טכניות בעיקרן ונקבע בהן כיצד יש לחלק את קבצי הבקשה; באיזה פורמט של קובץ יש להגישן; כיצד יש לכנות את הקבצים </w:t>
      </w:r>
      <w:proofErr w:type="spellStart"/>
      <w:r>
        <w:rPr>
          <w:rFonts w:cs="David" w:hint="cs"/>
          <w:sz w:val="24"/>
          <w:szCs w:val="24"/>
          <w:rtl/>
        </w:rPr>
        <w:t>וכיוצ"ב</w:t>
      </w:r>
      <w:proofErr w:type="spellEnd"/>
      <w:r>
        <w:rPr>
          <w:rFonts w:cs="David" w:hint="cs"/>
          <w:sz w:val="24"/>
          <w:szCs w:val="24"/>
          <w:rtl/>
        </w:rPr>
        <w:t xml:space="preserve">. </w:t>
      </w:r>
    </w:p>
    <w:p w:rsidR="00183558" w:rsidRDefault="00183558" w:rsidP="007C0442">
      <w:pPr>
        <w:pStyle w:val="a6"/>
        <w:numPr>
          <w:ilvl w:val="1"/>
          <w:numId w:val="8"/>
        </w:numPr>
        <w:ind w:left="368"/>
        <w:jc w:val="both"/>
        <w:rPr>
          <w:rFonts w:cs="David"/>
          <w:sz w:val="24"/>
          <w:szCs w:val="24"/>
        </w:rPr>
      </w:pPr>
      <w:r w:rsidRPr="00183558">
        <w:rPr>
          <w:rFonts w:cs="David" w:hint="cs"/>
          <w:b/>
          <w:bCs/>
          <w:sz w:val="24"/>
          <w:szCs w:val="24"/>
          <w:rtl/>
        </w:rPr>
        <w:t>בתקנה 31 המוצעת</w:t>
      </w:r>
      <w:r>
        <w:rPr>
          <w:rFonts w:cs="David" w:hint="cs"/>
          <w:sz w:val="24"/>
          <w:szCs w:val="24"/>
          <w:rtl/>
        </w:rPr>
        <w:t xml:space="preserve"> </w:t>
      </w:r>
      <w:r>
        <w:rPr>
          <w:rFonts w:cs="David"/>
          <w:sz w:val="24"/>
          <w:szCs w:val="24"/>
          <w:rtl/>
        </w:rPr>
        <w:t>–</w:t>
      </w:r>
      <w:r>
        <w:rPr>
          <w:rFonts w:cs="David" w:hint="cs"/>
          <w:sz w:val="24"/>
          <w:szCs w:val="24"/>
          <w:rtl/>
        </w:rPr>
        <w:t xml:space="preserve"> </w:t>
      </w:r>
      <w:r w:rsidR="00771EEC">
        <w:rPr>
          <w:rFonts w:cs="David" w:hint="cs"/>
          <w:sz w:val="24"/>
          <w:szCs w:val="24"/>
          <w:rtl/>
        </w:rPr>
        <w:t xml:space="preserve">מוצע לקבוע כי אי הגשה של מסמכי </w:t>
      </w:r>
      <w:r w:rsidR="00A01724">
        <w:rPr>
          <w:rFonts w:cs="David" w:hint="cs"/>
          <w:sz w:val="24"/>
          <w:szCs w:val="24"/>
          <w:rtl/>
        </w:rPr>
        <w:t xml:space="preserve">בקשת פטנט </w:t>
      </w:r>
      <w:r w:rsidR="00771EEC">
        <w:rPr>
          <w:rFonts w:cs="David" w:hint="cs"/>
          <w:sz w:val="24"/>
          <w:szCs w:val="24"/>
          <w:rtl/>
        </w:rPr>
        <w:t xml:space="preserve">על גבי התקן מחשב תיחשב כליקוי בצורת הבקשה לפי תקנה 31 לתקנות, והמבקש יידרש לתקנו. </w:t>
      </w:r>
    </w:p>
    <w:p w:rsidR="00367381" w:rsidRPr="00367381" w:rsidRDefault="00367381" w:rsidP="00367381">
      <w:pPr>
        <w:pStyle w:val="a6"/>
        <w:ind w:left="368"/>
        <w:jc w:val="both"/>
        <w:rPr>
          <w:rFonts w:cs="David"/>
          <w:sz w:val="16"/>
          <w:szCs w:val="16"/>
        </w:rPr>
      </w:pPr>
    </w:p>
    <w:p w:rsidR="007B39E0" w:rsidRPr="007B39E0" w:rsidRDefault="007B39E0" w:rsidP="00C14330">
      <w:pPr>
        <w:pStyle w:val="a6"/>
        <w:numPr>
          <w:ilvl w:val="0"/>
          <w:numId w:val="8"/>
        </w:numPr>
        <w:jc w:val="both"/>
        <w:rPr>
          <w:rFonts w:cs="David"/>
          <w:b/>
          <w:bCs/>
          <w:sz w:val="24"/>
          <w:szCs w:val="24"/>
        </w:rPr>
      </w:pPr>
      <w:r w:rsidRPr="007B39E0">
        <w:rPr>
          <w:rFonts w:cs="David"/>
          <w:b/>
          <w:bCs/>
          <w:sz w:val="24"/>
          <w:szCs w:val="24"/>
          <w:rtl/>
        </w:rPr>
        <w:t xml:space="preserve">קבלת הודעות </w:t>
      </w:r>
      <w:r w:rsidR="00C14330">
        <w:rPr>
          <w:rFonts w:cs="David" w:hint="cs"/>
          <w:b/>
          <w:bCs/>
          <w:sz w:val="24"/>
          <w:szCs w:val="24"/>
          <w:rtl/>
        </w:rPr>
        <w:t>ומסמכים בדוא"ל</w:t>
      </w:r>
      <w:r w:rsidR="00C62AB8">
        <w:rPr>
          <w:rFonts w:cs="David" w:hint="cs"/>
          <w:b/>
          <w:bCs/>
          <w:sz w:val="24"/>
          <w:szCs w:val="24"/>
          <w:rtl/>
        </w:rPr>
        <w:t xml:space="preserve"> (תקנות 15 ו-16)</w:t>
      </w:r>
    </w:p>
    <w:p w:rsidR="00C14330" w:rsidRDefault="00C14330" w:rsidP="00F5767F">
      <w:pPr>
        <w:jc w:val="both"/>
        <w:rPr>
          <w:rFonts w:cs="David"/>
          <w:sz w:val="24"/>
          <w:szCs w:val="24"/>
          <w:rtl/>
        </w:rPr>
      </w:pPr>
      <w:r w:rsidRPr="00C14330">
        <w:rPr>
          <w:rFonts w:cs="David" w:hint="cs"/>
          <w:sz w:val="24"/>
          <w:szCs w:val="24"/>
          <w:rtl/>
        </w:rPr>
        <w:t xml:space="preserve">מוצע </w:t>
      </w:r>
      <w:r w:rsidR="00F5767F">
        <w:rPr>
          <w:rFonts w:cs="David" w:hint="cs"/>
          <w:sz w:val="24"/>
          <w:szCs w:val="24"/>
          <w:rtl/>
        </w:rPr>
        <w:t xml:space="preserve">לאפשר למי שמגיש מסמכים לרשות, לבקשתו, </w:t>
      </w:r>
      <w:r w:rsidRPr="00C14330">
        <w:rPr>
          <w:rFonts w:cs="David" w:hint="cs"/>
          <w:sz w:val="24"/>
          <w:szCs w:val="24"/>
          <w:rtl/>
        </w:rPr>
        <w:t>לק</w:t>
      </w:r>
      <w:r w:rsidR="00F5767F">
        <w:rPr>
          <w:rFonts w:cs="David" w:hint="cs"/>
          <w:sz w:val="24"/>
          <w:szCs w:val="24"/>
          <w:rtl/>
        </w:rPr>
        <w:t>בל</w:t>
      </w:r>
      <w:r w:rsidRPr="00C14330">
        <w:rPr>
          <w:rFonts w:cs="David" w:hint="cs"/>
          <w:sz w:val="24"/>
          <w:szCs w:val="24"/>
          <w:rtl/>
        </w:rPr>
        <w:t xml:space="preserve"> הודעות ומסמכים מהרשות בדוא"</w:t>
      </w:r>
      <w:r w:rsidR="00F5767F">
        <w:rPr>
          <w:rFonts w:cs="David" w:hint="cs"/>
          <w:sz w:val="24"/>
          <w:szCs w:val="24"/>
          <w:rtl/>
        </w:rPr>
        <w:t>ל (תקנה 16 המוצעת)</w:t>
      </w:r>
      <w:r w:rsidRPr="00C14330">
        <w:rPr>
          <w:rFonts w:cs="David" w:hint="cs"/>
          <w:sz w:val="24"/>
          <w:szCs w:val="24"/>
          <w:rtl/>
        </w:rPr>
        <w:t xml:space="preserve">. כאשר אדם מגיש לראשונה מסמך לרשות, עליו לציין כתובת דואר הרשומה בישראל שתשמש כמענו למסירת דואר. לצד זאת, הוא יהיה רשאי לתת כתובת דוא"ל אם ברצונו לקבל באמצעותה מסמכים והודעות מהרשות. </w:t>
      </w:r>
    </w:p>
    <w:p w:rsidR="00C14330" w:rsidRPr="00C14330" w:rsidRDefault="00C14330" w:rsidP="00C14330">
      <w:pPr>
        <w:jc w:val="both"/>
        <w:rPr>
          <w:rFonts w:cs="David"/>
          <w:sz w:val="24"/>
          <w:szCs w:val="24"/>
          <w:rtl/>
        </w:rPr>
      </w:pPr>
      <w:r w:rsidRPr="00C14330">
        <w:rPr>
          <w:rFonts w:cs="David" w:hint="cs"/>
          <w:sz w:val="24"/>
          <w:szCs w:val="24"/>
          <w:rtl/>
        </w:rPr>
        <w:t xml:space="preserve">המגבלות </w:t>
      </w:r>
      <w:r>
        <w:rPr>
          <w:rFonts w:cs="David" w:hint="cs"/>
          <w:sz w:val="24"/>
          <w:szCs w:val="24"/>
          <w:rtl/>
        </w:rPr>
        <w:t>בתקנה המוצעת</w:t>
      </w:r>
      <w:r w:rsidRPr="00C14330">
        <w:rPr>
          <w:rFonts w:cs="David" w:hint="cs"/>
          <w:sz w:val="24"/>
          <w:szCs w:val="24"/>
          <w:rtl/>
        </w:rPr>
        <w:t>:</w:t>
      </w:r>
    </w:p>
    <w:p w:rsidR="00C14330" w:rsidRDefault="00C14330" w:rsidP="00C14330">
      <w:pPr>
        <w:pStyle w:val="a6"/>
        <w:numPr>
          <w:ilvl w:val="0"/>
          <w:numId w:val="27"/>
        </w:numPr>
        <w:jc w:val="both"/>
        <w:rPr>
          <w:rFonts w:cs="David"/>
          <w:sz w:val="24"/>
          <w:szCs w:val="24"/>
        </w:rPr>
      </w:pPr>
      <w:r>
        <w:rPr>
          <w:rFonts w:cs="David" w:hint="cs"/>
          <w:sz w:val="24"/>
          <w:szCs w:val="24"/>
          <w:rtl/>
        </w:rPr>
        <w:t xml:space="preserve">אם המבקש נתן כתובת דוא"ל כאמור, הוא יקבל אליה מהרשות הודעות ומסמכים בכל נושא שהוא ולא רק בקשר למסמך אותו הגיש באותה הזדמנות. </w:t>
      </w:r>
    </w:p>
    <w:p w:rsidR="00F5767F" w:rsidRDefault="00C14330" w:rsidP="00F5767F">
      <w:pPr>
        <w:pStyle w:val="a6"/>
        <w:numPr>
          <w:ilvl w:val="0"/>
          <w:numId w:val="27"/>
        </w:numPr>
        <w:jc w:val="both"/>
        <w:rPr>
          <w:rFonts w:cs="David"/>
          <w:sz w:val="24"/>
          <w:szCs w:val="24"/>
        </w:rPr>
      </w:pPr>
      <w:r>
        <w:rPr>
          <w:rFonts w:cs="David" w:hint="cs"/>
          <w:sz w:val="24"/>
          <w:szCs w:val="24"/>
          <w:rtl/>
        </w:rPr>
        <w:t>כתובת הדוא"ל שמסר תוכל לשמש גם צדדים ל"הליך על ריב" מולו לצורך שליחת מסמכים והודעות</w:t>
      </w:r>
      <w:r w:rsidR="00F5767F">
        <w:rPr>
          <w:rFonts w:cs="David" w:hint="cs"/>
          <w:sz w:val="24"/>
          <w:szCs w:val="24"/>
          <w:rtl/>
        </w:rPr>
        <w:t>, למעט שליחת המסמך הראשון בהליך אותו יש לשלוח לכתובת הדואר הרשמית</w:t>
      </w:r>
      <w:r>
        <w:rPr>
          <w:rFonts w:cs="David" w:hint="cs"/>
          <w:sz w:val="24"/>
          <w:szCs w:val="24"/>
          <w:rtl/>
        </w:rPr>
        <w:t xml:space="preserve">. </w:t>
      </w:r>
    </w:p>
    <w:p w:rsidR="007B0BEF" w:rsidRPr="00215A2F" w:rsidRDefault="00F5767F" w:rsidP="00215A2F">
      <w:pPr>
        <w:pStyle w:val="a6"/>
        <w:numPr>
          <w:ilvl w:val="0"/>
          <w:numId w:val="28"/>
        </w:numPr>
        <w:jc w:val="both"/>
        <w:rPr>
          <w:rFonts w:cs="David"/>
          <w:sz w:val="24"/>
          <w:szCs w:val="24"/>
        </w:rPr>
      </w:pPr>
      <w:r w:rsidRPr="00F5767F">
        <w:rPr>
          <w:rFonts w:cs="David" w:hint="cs"/>
          <w:sz w:val="24"/>
          <w:szCs w:val="24"/>
          <w:rtl/>
        </w:rPr>
        <w:t xml:space="preserve">משיחות עם הרשות הובהר כי כתובת הדוא"ל שתימסר </w:t>
      </w:r>
      <w:r w:rsidRPr="00215A2F">
        <w:rPr>
          <w:rFonts w:cs="David" w:hint="cs"/>
          <w:sz w:val="24"/>
          <w:szCs w:val="24"/>
          <w:rtl/>
        </w:rPr>
        <w:t>אינה מתפרסמת</w:t>
      </w:r>
      <w:r w:rsidR="000D68D8" w:rsidRPr="00215A2F">
        <w:rPr>
          <w:rFonts w:cs="David" w:hint="cs"/>
          <w:sz w:val="24"/>
          <w:szCs w:val="24"/>
          <w:rtl/>
        </w:rPr>
        <w:t xml:space="preserve"> </w:t>
      </w:r>
      <w:r w:rsidR="003B088E" w:rsidRPr="00215A2F">
        <w:rPr>
          <w:rFonts w:cs="David" w:hint="cs"/>
          <w:sz w:val="24"/>
          <w:szCs w:val="24"/>
          <w:rtl/>
        </w:rPr>
        <w:t>באופן יזום על ידי הרשות</w:t>
      </w:r>
      <w:r w:rsidRPr="00215A2F">
        <w:rPr>
          <w:rFonts w:cs="David"/>
          <w:sz w:val="24"/>
          <w:szCs w:val="24"/>
          <w:rtl/>
        </w:rPr>
        <w:t xml:space="preserve">, </w:t>
      </w:r>
      <w:r w:rsidRPr="00215A2F">
        <w:rPr>
          <w:rFonts w:cs="David" w:hint="cs"/>
          <w:sz w:val="24"/>
          <w:szCs w:val="24"/>
          <w:rtl/>
        </w:rPr>
        <w:t>וצד</w:t>
      </w:r>
      <w:r w:rsidRPr="00215A2F">
        <w:rPr>
          <w:rFonts w:cs="David"/>
          <w:sz w:val="24"/>
          <w:szCs w:val="24"/>
          <w:rtl/>
        </w:rPr>
        <w:t xml:space="preserve"> </w:t>
      </w:r>
      <w:r w:rsidRPr="00215A2F">
        <w:rPr>
          <w:rFonts w:cs="David" w:hint="cs"/>
          <w:sz w:val="24"/>
          <w:szCs w:val="24"/>
          <w:rtl/>
        </w:rPr>
        <w:t>להליך</w:t>
      </w:r>
      <w:r w:rsidRPr="00215A2F">
        <w:rPr>
          <w:rFonts w:cs="David"/>
          <w:sz w:val="24"/>
          <w:szCs w:val="24"/>
          <w:rtl/>
        </w:rPr>
        <w:t xml:space="preserve"> </w:t>
      </w:r>
      <w:r w:rsidRPr="00215A2F">
        <w:rPr>
          <w:rFonts w:cs="David" w:hint="cs"/>
          <w:sz w:val="24"/>
          <w:szCs w:val="24"/>
          <w:rtl/>
        </w:rPr>
        <w:t>על</w:t>
      </w:r>
      <w:r w:rsidRPr="00215A2F">
        <w:rPr>
          <w:rFonts w:cs="David"/>
          <w:sz w:val="24"/>
          <w:szCs w:val="24"/>
          <w:rtl/>
        </w:rPr>
        <w:t xml:space="preserve"> </w:t>
      </w:r>
      <w:r w:rsidRPr="00215A2F">
        <w:rPr>
          <w:rFonts w:cs="David" w:hint="cs"/>
          <w:sz w:val="24"/>
          <w:szCs w:val="24"/>
          <w:rtl/>
        </w:rPr>
        <w:t>ריב</w:t>
      </w:r>
      <w:r w:rsidRPr="00215A2F">
        <w:rPr>
          <w:rFonts w:cs="David"/>
          <w:sz w:val="24"/>
          <w:szCs w:val="24"/>
          <w:rtl/>
        </w:rPr>
        <w:t xml:space="preserve"> </w:t>
      </w:r>
      <w:r w:rsidRPr="00215A2F">
        <w:rPr>
          <w:rFonts w:cs="David" w:hint="cs"/>
          <w:sz w:val="24"/>
          <w:szCs w:val="24"/>
          <w:rtl/>
        </w:rPr>
        <w:t>כאמור</w:t>
      </w:r>
      <w:r w:rsidRPr="00215A2F">
        <w:rPr>
          <w:rFonts w:cs="David"/>
          <w:sz w:val="24"/>
          <w:szCs w:val="24"/>
          <w:rtl/>
        </w:rPr>
        <w:t xml:space="preserve"> </w:t>
      </w:r>
      <w:r w:rsidRPr="00215A2F">
        <w:rPr>
          <w:rFonts w:cs="David" w:hint="cs"/>
          <w:sz w:val="24"/>
          <w:szCs w:val="24"/>
          <w:rtl/>
        </w:rPr>
        <w:t>יוכל</w:t>
      </w:r>
      <w:r w:rsidRPr="00215A2F">
        <w:rPr>
          <w:rFonts w:cs="David"/>
          <w:sz w:val="24"/>
          <w:szCs w:val="24"/>
          <w:rtl/>
        </w:rPr>
        <w:t xml:space="preserve"> </w:t>
      </w:r>
      <w:r w:rsidRPr="00215A2F">
        <w:rPr>
          <w:rFonts w:cs="David" w:hint="cs"/>
          <w:sz w:val="24"/>
          <w:szCs w:val="24"/>
          <w:rtl/>
        </w:rPr>
        <w:t>לקבלה</w:t>
      </w:r>
      <w:r w:rsidRPr="00215A2F">
        <w:rPr>
          <w:rFonts w:cs="David"/>
          <w:sz w:val="24"/>
          <w:szCs w:val="24"/>
          <w:rtl/>
        </w:rPr>
        <w:t xml:space="preserve"> </w:t>
      </w:r>
      <w:r w:rsidRPr="00215A2F">
        <w:rPr>
          <w:rFonts w:cs="David" w:hint="cs"/>
          <w:sz w:val="24"/>
          <w:szCs w:val="24"/>
          <w:rtl/>
        </w:rPr>
        <w:t>אם</w:t>
      </w:r>
      <w:r w:rsidRPr="00215A2F">
        <w:rPr>
          <w:rFonts w:cs="David"/>
          <w:sz w:val="24"/>
          <w:szCs w:val="24"/>
          <w:rtl/>
        </w:rPr>
        <w:t xml:space="preserve"> </w:t>
      </w:r>
      <w:r w:rsidRPr="00215A2F">
        <w:rPr>
          <w:rFonts w:cs="David" w:hint="cs"/>
          <w:sz w:val="24"/>
          <w:szCs w:val="24"/>
          <w:rtl/>
        </w:rPr>
        <w:t>יגיש</w:t>
      </w:r>
      <w:r w:rsidRPr="00215A2F">
        <w:rPr>
          <w:rFonts w:cs="David"/>
          <w:sz w:val="24"/>
          <w:szCs w:val="24"/>
          <w:rtl/>
        </w:rPr>
        <w:t xml:space="preserve"> </w:t>
      </w:r>
      <w:r w:rsidRPr="00215A2F">
        <w:rPr>
          <w:rFonts w:cs="David" w:hint="cs"/>
          <w:sz w:val="24"/>
          <w:szCs w:val="24"/>
          <w:rtl/>
        </w:rPr>
        <w:t>בקשה</w:t>
      </w:r>
      <w:r w:rsidRPr="00215A2F">
        <w:rPr>
          <w:rFonts w:cs="David"/>
          <w:sz w:val="24"/>
          <w:szCs w:val="24"/>
          <w:rtl/>
        </w:rPr>
        <w:t xml:space="preserve"> </w:t>
      </w:r>
      <w:r w:rsidRPr="00215A2F">
        <w:rPr>
          <w:rFonts w:cs="David" w:hint="cs"/>
          <w:sz w:val="24"/>
          <w:szCs w:val="24"/>
          <w:rtl/>
        </w:rPr>
        <w:t>פרטנית</w:t>
      </w:r>
      <w:r w:rsidRPr="00215A2F">
        <w:rPr>
          <w:rFonts w:cs="David"/>
          <w:sz w:val="24"/>
          <w:szCs w:val="24"/>
          <w:rtl/>
        </w:rPr>
        <w:t xml:space="preserve"> </w:t>
      </w:r>
      <w:r w:rsidRPr="00215A2F">
        <w:rPr>
          <w:rFonts w:cs="David" w:hint="cs"/>
          <w:sz w:val="24"/>
          <w:szCs w:val="24"/>
          <w:rtl/>
        </w:rPr>
        <w:t>לרשות</w:t>
      </w:r>
      <w:r w:rsidRPr="00215A2F">
        <w:rPr>
          <w:rFonts w:cs="David"/>
          <w:sz w:val="24"/>
          <w:szCs w:val="24"/>
          <w:rtl/>
        </w:rPr>
        <w:t>.</w:t>
      </w:r>
      <w:r w:rsidR="003B088E" w:rsidRPr="00215A2F">
        <w:rPr>
          <w:rStyle w:val="a5"/>
          <w:rFonts w:cs="David"/>
          <w:sz w:val="24"/>
          <w:szCs w:val="24"/>
          <w:rtl/>
        </w:rPr>
        <w:footnoteReference w:id="12"/>
      </w:r>
      <w:r w:rsidRPr="00215A2F">
        <w:rPr>
          <w:rFonts w:cs="David"/>
          <w:sz w:val="24"/>
          <w:szCs w:val="24"/>
          <w:rtl/>
        </w:rPr>
        <w:t xml:space="preserve"> </w:t>
      </w:r>
    </w:p>
    <w:p w:rsidR="00F5767F" w:rsidRDefault="00F5767F" w:rsidP="007C0442">
      <w:pPr>
        <w:pStyle w:val="a6"/>
        <w:numPr>
          <w:ilvl w:val="0"/>
          <w:numId w:val="28"/>
        </w:numPr>
        <w:jc w:val="both"/>
        <w:rPr>
          <w:rFonts w:cs="David"/>
          <w:sz w:val="24"/>
          <w:szCs w:val="24"/>
        </w:rPr>
      </w:pPr>
      <w:r w:rsidRPr="007B0BEF">
        <w:rPr>
          <w:rFonts w:cs="David" w:hint="cs"/>
          <w:sz w:val="24"/>
          <w:szCs w:val="24"/>
          <w:rtl/>
        </w:rPr>
        <w:t xml:space="preserve">צד להליך על ריב ששלח מסמך או הודעה בדוא"ל, יידרש לוודא טלפונית כי הנמען קיבל את ההודעה, או לקבל אישור קבלה במייל חוזר (תקנה 15(א1) המוצעת). </w:t>
      </w:r>
      <w:r w:rsidR="000D68D8">
        <w:rPr>
          <w:rFonts w:cs="David" w:hint="cs"/>
          <w:sz w:val="24"/>
          <w:szCs w:val="24"/>
          <w:rtl/>
        </w:rPr>
        <w:t>ממשרד המשפטים</w:t>
      </w:r>
      <w:r w:rsidR="000D68D8" w:rsidRPr="007B0BEF">
        <w:rPr>
          <w:rFonts w:cs="David" w:hint="cs"/>
          <w:sz w:val="24"/>
          <w:szCs w:val="24"/>
          <w:rtl/>
        </w:rPr>
        <w:t xml:space="preserve"> </w:t>
      </w:r>
      <w:r w:rsidRPr="007B0BEF">
        <w:rPr>
          <w:rFonts w:cs="David" w:hint="cs"/>
          <w:sz w:val="24"/>
          <w:szCs w:val="24"/>
          <w:rtl/>
        </w:rPr>
        <w:t>הובהר כי לא די בקבלת הודעת מייל אוטומטית על קבלת המסמך וכי יש לקבל אישור מגורם אנושי.</w:t>
      </w:r>
    </w:p>
    <w:p w:rsidR="004851EA" w:rsidRPr="004851EA" w:rsidRDefault="004851EA" w:rsidP="004851EA">
      <w:pPr>
        <w:pStyle w:val="a6"/>
        <w:ind w:left="360"/>
        <w:jc w:val="both"/>
        <w:rPr>
          <w:rFonts w:cs="David"/>
          <w:sz w:val="16"/>
          <w:szCs w:val="16"/>
        </w:rPr>
      </w:pPr>
    </w:p>
    <w:p w:rsidR="007B0BEF" w:rsidRPr="007B0BEF" w:rsidRDefault="007B0BEF" w:rsidP="007B0BEF">
      <w:pPr>
        <w:pStyle w:val="a6"/>
        <w:ind w:left="360"/>
        <w:jc w:val="both"/>
        <w:rPr>
          <w:rFonts w:cs="David"/>
          <w:sz w:val="4"/>
          <w:szCs w:val="4"/>
        </w:rPr>
      </w:pPr>
    </w:p>
    <w:p w:rsidR="00C5275E" w:rsidRPr="007B39E0" w:rsidRDefault="00C5275E" w:rsidP="007B0BEF">
      <w:pPr>
        <w:pStyle w:val="a6"/>
        <w:numPr>
          <w:ilvl w:val="0"/>
          <w:numId w:val="8"/>
        </w:numPr>
        <w:jc w:val="both"/>
        <w:rPr>
          <w:rFonts w:cs="David"/>
          <w:b/>
          <w:bCs/>
          <w:sz w:val="24"/>
          <w:szCs w:val="24"/>
        </w:rPr>
      </w:pPr>
      <w:r w:rsidRPr="007B0BEF">
        <w:rPr>
          <w:rFonts w:cs="David"/>
          <w:b/>
          <w:bCs/>
          <w:sz w:val="24"/>
          <w:szCs w:val="24"/>
          <w:rtl/>
        </w:rPr>
        <w:t>דרישה</w:t>
      </w:r>
      <w:r w:rsidRPr="007B39E0">
        <w:rPr>
          <w:rFonts w:cs="David"/>
          <w:b/>
          <w:bCs/>
          <w:sz w:val="24"/>
          <w:szCs w:val="24"/>
          <w:rtl/>
        </w:rPr>
        <w:t xml:space="preserve"> לנימוק כיצד תיקונים לבקשה או לפטנט עומדים בתנאי החוק</w:t>
      </w:r>
      <w:r w:rsidR="00C62AB8">
        <w:rPr>
          <w:rFonts w:cs="David" w:hint="cs"/>
          <w:b/>
          <w:bCs/>
          <w:sz w:val="24"/>
          <w:szCs w:val="24"/>
          <w:rtl/>
        </w:rPr>
        <w:t xml:space="preserve"> (תקנות 22, </w:t>
      </w:r>
      <w:r w:rsidR="00E21123">
        <w:rPr>
          <w:rFonts w:cs="David" w:hint="cs"/>
          <w:b/>
          <w:bCs/>
          <w:sz w:val="24"/>
          <w:szCs w:val="24"/>
          <w:rtl/>
        </w:rPr>
        <w:t>42, 95)</w:t>
      </w:r>
    </w:p>
    <w:p w:rsidR="00C5275E" w:rsidRDefault="00C5275E" w:rsidP="00960765">
      <w:pPr>
        <w:spacing w:after="0" w:line="240" w:lineRule="auto"/>
        <w:jc w:val="both"/>
        <w:rPr>
          <w:rFonts w:cs="David"/>
          <w:sz w:val="24"/>
          <w:szCs w:val="24"/>
          <w:rtl/>
        </w:rPr>
      </w:pPr>
      <w:r>
        <w:rPr>
          <w:rFonts w:cs="David" w:hint="cs"/>
          <w:sz w:val="24"/>
          <w:szCs w:val="24"/>
          <w:rtl/>
        </w:rPr>
        <w:t xml:space="preserve">במספר מקומות בתקנות המוצעות, מוצע לדרוש ממבקש שמגיש תיקונים לפרט כיצד התיקון שערך עונה על </w:t>
      </w:r>
      <w:r w:rsidR="00960765">
        <w:rPr>
          <w:rFonts w:cs="David" w:hint="cs"/>
          <w:sz w:val="24"/>
          <w:szCs w:val="24"/>
          <w:rtl/>
        </w:rPr>
        <w:t xml:space="preserve">תנאי החוק או על </w:t>
      </w:r>
      <w:r>
        <w:rPr>
          <w:rFonts w:cs="David" w:hint="cs"/>
          <w:sz w:val="24"/>
          <w:szCs w:val="24"/>
          <w:rtl/>
        </w:rPr>
        <w:t>הדרישה לתיקון שקיבל מהרשות:</w:t>
      </w:r>
    </w:p>
    <w:p w:rsidR="00F50A31" w:rsidRDefault="00F50A31" w:rsidP="007129AB">
      <w:pPr>
        <w:pStyle w:val="a6"/>
        <w:numPr>
          <w:ilvl w:val="0"/>
          <w:numId w:val="29"/>
        </w:numPr>
        <w:jc w:val="both"/>
        <w:rPr>
          <w:rFonts w:cs="David"/>
          <w:sz w:val="24"/>
          <w:szCs w:val="24"/>
        </w:rPr>
      </w:pPr>
      <w:r w:rsidRPr="00F50A31">
        <w:rPr>
          <w:rFonts w:cs="David" w:hint="cs"/>
          <w:b/>
          <w:bCs/>
          <w:sz w:val="24"/>
          <w:szCs w:val="24"/>
          <w:rtl/>
        </w:rPr>
        <w:t>תקנה 22(ג)</w:t>
      </w:r>
      <w:r>
        <w:rPr>
          <w:rFonts w:cs="David" w:hint="cs"/>
          <w:sz w:val="24"/>
          <w:szCs w:val="24"/>
          <w:rtl/>
        </w:rPr>
        <w:t xml:space="preserve">: </w:t>
      </w:r>
      <w:r w:rsidR="0081623A">
        <w:rPr>
          <w:rFonts w:cs="David" w:hint="cs"/>
          <w:sz w:val="24"/>
          <w:szCs w:val="24"/>
          <w:rtl/>
        </w:rPr>
        <w:t xml:space="preserve">תקנה 22 עוסקת בתיקון פירוט בשלב של בחינת בקשת פטנט. </w:t>
      </w:r>
      <w:r>
        <w:rPr>
          <w:rFonts w:cs="David" w:hint="cs"/>
          <w:sz w:val="24"/>
          <w:szCs w:val="24"/>
          <w:rtl/>
        </w:rPr>
        <w:t>"פירוט" הוא החלק של בקשת הפטנט בו מתאר המבקש את האמצאה.</w:t>
      </w:r>
      <w:r>
        <w:rPr>
          <w:rStyle w:val="a5"/>
          <w:rFonts w:cs="David"/>
          <w:sz w:val="24"/>
          <w:szCs w:val="24"/>
          <w:rtl/>
        </w:rPr>
        <w:footnoteReference w:id="13"/>
      </w:r>
      <w:r>
        <w:rPr>
          <w:rFonts w:cs="David" w:hint="cs"/>
          <w:sz w:val="24"/>
          <w:szCs w:val="24"/>
          <w:rtl/>
        </w:rPr>
        <w:t xml:space="preserve"> "תביעות" </w:t>
      </w:r>
      <w:r w:rsidR="0081623A">
        <w:rPr>
          <w:rFonts w:cs="David" w:hint="cs"/>
          <w:sz w:val="24"/>
          <w:szCs w:val="24"/>
          <w:rtl/>
        </w:rPr>
        <w:t xml:space="preserve">הוא החלק בבקשה </w:t>
      </w:r>
      <w:r>
        <w:rPr>
          <w:rFonts w:cs="David" w:hint="cs"/>
          <w:sz w:val="24"/>
          <w:szCs w:val="24"/>
          <w:rtl/>
        </w:rPr>
        <w:t>שבו מתואר היקף ההגנה המשפטית המבוקש על האמצאה. לפי סעיף 13 לחוק, התביעות צריכות לנבוע באופן סביר מהפירוט.</w:t>
      </w:r>
      <w:r>
        <w:rPr>
          <w:rStyle w:val="a5"/>
          <w:rFonts w:cs="David"/>
          <w:sz w:val="24"/>
          <w:szCs w:val="24"/>
          <w:rtl/>
        </w:rPr>
        <w:footnoteReference w:id="14"/>
      </w:r>
      <w:r>
        <w:rPr>
          <w:rFonts w:cs="David" w:hint="cs"/>
          <w:sz w:val="24"/>
          <w:szCs w:val="24"/>
          <w:rtl/>
        </w:rPr>
        <w:t xml:space="preserve">. </w:t>
      </w:r>
      <w:r w:rsidR="00960765">
        <w:rPr>
          <w:rFonts w:cs="David" w:hint="cs"/>
          <w:sz w:val="24"/>
          <w:szCs w:val="24"/>
          <w:rtl/>
        </w:rPr>
        <w:t xml:space="preserve">מוצע להוסיף חובה על מבקש שמתקן את חלק ה"תביעות" בבקשתו </w:t>
      </w:r>
      <w:r w:rsidR="0081623A">
        <w:rPr>
          <w:rFonts w:cs="David" w:hint="cs"/>
          <w:sz w:val="24"/>
          <w:szCs w:val="24"/>
          <w:rtl/>
        </w:rPr>
        <w:t>לנמק</w:t>
      </w:r>
      <w:r w:rsidR="00960765">
        <w:rPr>
          <w:rFonts w:cs="David" w:hint="cs"/>
          <w:sz w:val="24"/>
          <w:szCs w:val="24"/>
          <w:rtl/>
        </w:rPr>
        <w:t xml:space="preserve"> כיצד עומד התיקון בתנאי סעיף 13 לחוק </w:t>
      </w:r>
      <w:r w:rsidR="00960765">
        <w:rPr>
          <w:rFonts w:cs="David"/>
          <w:sz w:val="24"/>
          <w:szCs w:val="24"/>
          <w:rtl/>
        </w:rPr>
        <w:t>–</w:t>
      </w:r>
      <w:r w:rsidR="00960765">
        <w:rPr>
          <w:rFonts w:cs="David" w:hint="cs"/>
          <w:sz w:val="24"/>
          <w:szCs w:val="24"/>
          <w:rtl/>
        </w:rPr>
        <w:t xml:space="preserve"> כלומר, </w:t>
      </w:r>
      <w:r w:rsidR="007B0BEF">
        <w:rPr>
          <w:rFonts w:cs="David" w:hint="cs"/>
          <w:sz w:val="24"/>
          <w:szCs w:val="24"/>
          <w:rtl/>
        </w:rPr>
        <w:t xml:space="preserve">להסביר </w:t>
      </w:r>
      <w:r w:rsidR="00960765">
        <w:rPr>
          <w:rFonts w:cs="David" w:hint="cs"/>
          <w:sz w:val="24"/>
          <w:szCs w:val="24"/>
          <w:rtl/>
        </w:rPr>
        <w:t>כיצד התביעות</w:t>
      </w:r>
      <w:r w:rsidR="007129AB">
        <w:rPr>
          <w:rFonts w:cs="David" w:hint="cs"/>
          <w:sz w:val="24"/>
          <w:szCs w:val="24"/>
          <w:rtl/>
        </w:rPr>
        <w:t xml:space="preserve"> בנוסחן לאחר התיקון</w:t>
      </w:r>
      <w:r w:rsidR="000D4B80">
        <w:rPr>
          <w:rFonts w:cs="David" w:hint="cs"/>
          <w:sz w:val="24"/>
          <w:szCs w:val="24"/>
          <w:rtl/>
        </w:rPr>
        <w:t>,</w:t>
      </w:r>
      <w:r w:rsidR="00960765">
        <w:rPr>
          <w:rFonts w:cs="David" w:hint="cs"/>
          <w:sz w:val="24"/>
          <w:szCs w:val="24"/>
          <w:rtl/>
        </w:rPr>
        <w:t xml:space="preserve"> נובעות מהפירוט. מרשות הפטנטים נמסר כי גם היום אם הדבר אינו ברור, ממילא בוחן הפטנטים ידרוש מהמבקש לספק הסבר כאמור.</w:t>
      </w:r>
    </w:p>
    <w:p w:rsidR="007B0BEF" w:rsidRDefault="00960765" w:rsidP="007C0442">
      <w:pPr>
        <w:pStyle w:val="a6"/>
        <w:numPr>
          <w:ilvl w:val="0"/>
          <w:numId w:val="29"/>
        </w:numPr>
        <w:jc w:val="both"/>
        <w:rPr>
          <w:rFonts w:cs="David"/>
          <w:sz w:val="24"/>
          <w:szCs w:val="24"/>
        </w:rPr>
      </w:pPr>
      <w:r>
        <w:rPr>
          <w:rFonts w:cs="David" w:hint="cs"/>
          <w:b/>
          <w:bCs/>
          <w:sz w:val="24"/>
          <w:szCs w:val="24"/>
          <w:rtl/>
        </w:rPr>
        <w:t>תקנה 42</w:t>
      </w:r>
      <w:r w:rsidRPr="00960765">
        <w:rPr>
          <w:rFonts w:cs="David" w:hint="cs"/>
          <w:sz w:val="24"/>
          <w:szCs w:val="24"/>
          <w:rtl/>
        </w:rPr>
        <w:t>:</w:t>
      </w:r>
      <w:r>
        <w:rPr>
          <w:rFonts w:cs="David" w:hint="cs"/>
          <w:sz w:val="24"/>
          <w:szCs w:val="24"/>
          <w:rtl/>
        </w:rPr>
        <w:t xml:space="preserve"> במהלך בחינת בקשת הפטנט, בוחן הפטנטים רשאי לשלוח למבקש הפטנט הודעה על ליקויים בבקשתו. לפי תקנה 42, המבקש רשאי, תוך ארבעה חודשים, להגיש תשובה להודעת הליקויים ובמסגרתה בין היתר, הוא רשאי לתקן את </w:t>
      </w:r>
      <w:r w:rsidR="007C0442">
        <w:rPr>
          <w:rFonts w:cs="David" w:hint="cs"/>
          <w:sz w:val="24"/>
          <w:szCs w:val="24"/>
          <w:rtl/>
        </w:rPr>
        <w:t>הליקוי</w:t>
      </w:r>
      <w:r>
        <w:rPr>
          <w:rFonts w:cs="David" w:hint="cs"/>
          <w:sz w:val="24"/>
          <w:szCs w:val="24"/>
          <w:rtl/>
        </w:rPr>
        <w:t xml:space="preserve">. כעת מוצע לקבוע כי יהיה על המבקש לצרף לתשובתו הנמקה כיצד התיקון </w:t>
      </w:r>
      <w:r w:rsidR="0081623A">
        <w:rPr>
          <w:rFonts w:cs="David" w:hint="cs"/>
          <w:sz w:val="24"/>
          <w:szCs w:val="24"/>
          <w:rtl/>
        </w:rPr>
        <w:t>שהגיש</w:t>
      </w:r>
      <w:r>
        <w:rPr>
          <w:rFonts w:cs="David" w:hint="cs"/>
          <w:sz w:val="24"/>
          <w:szCs w:val="24"/>
          <w:rtl/>
        </w:rPr>
        <w:t xml:space="preserve"> מתקן את הליקוי. </w:t>
      </w:r>
    </w:p>
    <w:p w:rsidR="007B0BEF" w:rsidRDefault="00960765" w:rsidP="00215A2F">
      <w:pPr>
        <w:pStyle w:val="a6"/>
        <w:numPr>
          <w:ilvl w:val="0"/>
          <w:numId w:val="29"/>
        </w:numPr>
        <w:jc w:val="both"/>
        <w:rPr>
          <w:rFonts w:cs="David"/>
          <w:sz w:val="24"/>
          <w:szCs w:val="24"/>
        </w:rPr>
      </w:pPr>
      <w:r w:rsidRPr="007B0BEF">
        <w:rPr>
          <w:rFonts w:cs="David" w:hint="cs"/>
          <w:b/>
          <w:bCs/>
          <w:sz w:val="24"/>
          <w:szCs w:val="24"/>
          <w:rtl/>
        </w:rPr>
        <w:t>תקנה 95</w:t>
      </w:r>
      <w:r w:rsidRPr="007B0BEF">
        <w:rPr>
          <w:rFonts w:cs="David" w:hint="cs"/>
          <w:sz w:val="24"/>
          <w:szCs w:val="24"/>
          <w:rtl/>
        </w:rPr>
        <w:t>:</w:t>
      </w:r>
      <w:r w:rsidRPr="007B0BEF">
        <w:rPr>
          <w:rFonts w:cs="David" w:hint="cs"/>
          <w:b/>
          <w:bCs/>
          <w:sz w:val="24"/>
          <w:szCs w:val="24"/>
          <w:rtl/>
        </w:rPr>
        <w:t xml:space="preserve"> </w:t>
      </w:r>
      <w:r w:rsidR="007B0BEF" w:rsidRPr="007B0BEF">
        <w:rPr>
          <w:rFonts w:cs="David" w:hint="cs"/>
          <w:sz w:val="24"/>
          <w:szCs w:val="24"/>
          <w:rtl/>
        </w:rPr>
        <w:t>התקנה עוסקת בבקשת רשות לתקן פירוט פטנט לאחר שכבר ניתן פטנט</w:t>
      </w:r>
      <w:r w:rsidR="009F1920">
        <w:rPr>
          <w:rFonts w:cs="David" w:hint="cs"/>
          <w:sz w:val="24"/>
          <w:szCs w:val="24"/>
          <w:rtl/>
        </w:rPr>
        <w:t xml:space="preserve"> (או לאחר שהסתיימה בחינתו, מכוח סעיף 29 לחוק)</w:t>
      </w:r>
      <w:r w:rsidR="007B0BEF" w:rsidRPr="007B0BEF">
        <w:rPr>
          <w:rFonts w:cs="David" w:hint="cs"/>
          <w:sz w:val="24"/>
          <w:szCs w:val="24"/>
          <w:rtl/>
        </w:rPr>
        <w:t xml:space="preserve">. בשלב זה, הזכות לתיקון מצומצמת יותר. לפי סעיף 65 לחוק בעל הפטנט רשאי לבקש תיקון פירוט </w:t>
      </w:r>
      <w:r w:rsidR="00C6050C">
        <w:rPr>
          <w:rFonts w:cs="David" w:hint="cs"/>
          <w:sz w:val="24"/>
          <w:szCs w:val="24"/>
          <w:rtl/>
        </w:rPr>
        <w:t xml:space="preserve">בשלב </w:t>
      </w:r>
      <w:r w:rsidR="007B0BEF" w:rsidRPr="007B0BEF">
        <w:rPr>
          <w:rFonts w:cs="David" w:hint="cs"/>
          <w:sz w:val="24"/>
          <w:szCs w:val="24"/>
          <w:rtl/>
        </w:rPr>
        <w:t xml:space="preserve">זה רק "לשם הבהרה או סילוק שגיאה שנפלה בו או לשם צמצום תביעותיו". </w:t>
      </w:r>
      <w:r w:rsidR="00C6050C">
        <w:rPr>
          <w:rFonts w:cs="David" w:hint="cs"/>
          <w:sz w:val="24"/>
          <w:szCs w:val="24"/>
          <w:rtl/>
        </w:rPr>
        <w:t xml:space="preserve">לפי </w:t>
      </w:r>
      <w:r w:rsidR="007B0BEF" w:rsidRPr="007B0BEF">
        <w:rPr>
          <w:rFonts w:cs="David" w:hint="cs"/>
          <w:sz w:val="24"/>
          <w:szCs w:val="24"/>
          <w:rtl/>
        </w:rPr>
        <w:t xml:space="preserve">סעיף 66 לחוק הרשם ירשה את התיקון רק אם "שוכנע כי אין בו כדי להרחיב את היקף התביעות שבפירוט או כדי להוסיף לפירוט דברים שלא נזכרו בו בעיקרם </w:t>
      </w:r>
      <w:r w:rsidR="007B0BEF" w:rsidRPr="00215A2F">
        <w:rPr>
          <w:rFonts w:cs="David" w:hint="cs"/>
          <w:sz w:val="24"/>
          <w:szCs w:val="24"/>
          <w:rtl/>
        </w:rPr>
        <w:t xml:space="preserve">מלכתחילה". מוצע לחייב את מגיש </w:t>
      </w:r>
      <w:r w:rsidR="0081623A" w:rsidRPr="00215A2F">
        <w:rPr>
          <w:rFonts w:cs="David" w:hint="cs"/>
          <w:sz w:val="24"/>
          <w:szCs w:val="24"/>
          <w:rtl/>
        </w:rPr>
        <w:t>בקשת התיקון לנמק</w:t>
      </w:r>
      <w:r w:rsidR="007B0BEF" w:rsidRPr="00215A2F">
        <w:rPr>
          <w:rFonts w:cs="David" w:hint="cs"/>
          <w:sz w:val="24"/>
          <w:szCs w:val="24"/>
          <w:rtl/>
        </w:rPr>
        <w:t xml:space="preserve"> כיצד התיקון עומד בתנאי סעיפים 65 ו-66 לחוק</w:t>
      </w:r>
      <w:r w:rsidR="007C0442" w:rsidRPr="00215A2F">
        <w:rPr>
          <w:rFonts w:cs="David" w:hint="cs"/>
          <w:sz w:val="24"/>
          <w:szCs w:val="24"/>
          <w:rtl/>
        </w:rPr>
        <w:t>.</w:t>
      </w:r>
      <w:r w:rsidR="009F1920" w:rsidRPr="00215A2F">
        <w:rPr>
          <w:rFonts w:cs="David" w:hint="cs"/>
          <w:sz w:val="24"/>
          <w:szCs w:val="24"/>
          <w:rtl/>
        </w:rPr>
        <w:t xml:space="preserve"> </w:t>
      </w:r>
    </w:p>
    <w:p w:rsidR="007B0BEF" w:rsidRPr="000474FB" w:rsidRDefault="007B0BEF" w:rsidP="007B0BEF">
      <w:pPr>
        <w:pStyle w:val="a6"/>
        <w:ind w:left="360"/>
        <w:jc w:val="both"/>
        <w:rPr>
          <w:rFonts w:cs="David"/>
          <w:sz w:val="16"/>
          <w:szCs w:val="16"/>
        </w:rPr>
      </w:pPr>
    </w:p>
    <w:p w:rsidR="002841AD" w:rsidRDefault="002841AD" w:rsidP="002841AD">
      <w:pPr>
        <w:pStyle w:val="a6"/>
        <w:numPr>
          <w:ilvl w:val="0"/>
          <w:numId w:val="8"/>
        </w:numPr>
        <w:jc w:val="both"/>
        <w:rPr>
          <w:rFonts w:cs="David"/>
          <w:b/>
          <w:bCs/>
          <w:sz w:val="24"/>
          <w:szCs w:val="24"/>
        </w:rPr>
      </w:pPr>
      <w:r>
        <w:rPr>
          <w:rFonts w:cs="David" w:hint="cs"/>
          <w:b/>
          <w:bCs/>
          <w:sz w:val="24"/>
          <w:szCs w:val="24"/>
          <w:rtl/>
        </w:rPr>
        <w:t>דרישת תרגום מסמכים</w:t>
      </w:r>
      <w:r w:rsidR="00C6050C">
        <w:rPr>
          <w:rFonts w:cs="David" w:hint="cs"/>
          <w:b/>
          <w:bCs/>
          <w:sz w:val="24"/>
          <w:szCs w:val="24"/>
          <w:rtl/>
        </w:rPr>
        <w:t xml:space="preserve"> לאנגלית</w:t>
      </w:r>
      <w:r w:rsidR="00E21123">
        <w:rPr>
          <w:rFonts w:cs="David" w:hint="cs"/>
          <w:b/>
          <w:bCs/>
          <w:sz w:val="24"/>
          <w:szCs w:val="24"/>
          <w:rtl/>
        </w:rPr>
        <w:t xml:space="preserve"> (תקנות 25, 36, 64)</w:t>
      </w:r>
    </w:p>
    <w:p w:rsidR="002841AD" w:rsidRPr="00C6050C" w:rsidRDefault="002841AD" w:rsidP="001C125A">
      <w:pPr>
        <w:jc w:val="both"/>
        <w:rPr>
          <w:rFonts w:cs="David"/>
          <w:sz w:val="24"/>
          <w:szCs w:val="24"/>
        </w:rPr>
      </w:pPr>
      <w:r w:rsidRPr="00B828C9">
        <w:rPr>
          <w:rFonts w:cs="David" w:hint="cs"/>
          <w:sz w:val="24"/>
          <w:szCs w:val="24"/>
          <w:rtl/>
        </w:rPr>
        <w:lastRenderedPageBreak/>
        <w:t>מוצע לאפשר לרשם לדרוש תרגום מסמכים לאנגלית ולא</w:t>
      </w:r>
      <w:r w:rsidR="001C125A">
        <w:rPr>
          <w:rFonts w:cs="David" w:hint="cs"/>
          <w:sz w:val="24"/>
          <w:szCs w:val="24"/>
          <w:rtl/>
        </w:rPr>
        <w:t>ו דווקא</w:t>
      </w:r>
      <w:r w:rsidRPr="00B828C9">
        <w:rPr>
          <w:rFonts w:cs="David" w:hint="cs"/>
          <w:sz w:val="24"/>
          <w:szCs w:val="24"/>
          <w:rtl/>
        </w:rPr>
        <w:t xml:space="preserve"> לשפה רשמית</w:t>
      </w:r>
      <w:r>
        <w:rPr>
          <w:rFonts w:cs="David" w:hint="cs"/>
          <w:sz w:val="24"/>
          <w:szCs w:val="24"/>
          <w:rtl/>
        </w:rPr>
        <w:t xml:space="preserve"> במקרים הבאים:</w:t>
      </w:r>
      <w:r w:rsidRPr="00B828C9">
        <w:rPr>
          <w:rFonts w:cs="David" w:hint="cs"/>
          <w:sz w:val="24"/>
          <w:szCs w:val="24"/>
          <w:rtl/>
        </w:rPr>
        <w:t xml:space="preserve"> </w:t>
      </w:r>
      <w:r w:rsidR="00C6050C">
        <w:rPr>
          <w:rFonts w:cs="David" w:hint="cs"/>
          <w:sz w:val="24"/>
          <w:szCs w:val="24"/>
          <w:rtl/>
        </w:rPr>
        <w:t xml:space="preserve">(א) </w:t>
      </w:r>
      <w:r w:rsidRPr="00C6050C">
        <w:rPr>
          <w:rFonts w:cs="David" w:hint="cs"/>
          <w:sz w:val="24"/>
          <w:szCs w:val="24"/>
          <w:rtl/>
        </w:rPr>
        <w:t>תרגום פירוט (תקנה 25);</w:t>
      </w:r>
      <w:r w:rsidR="00C6050C">
        <w:rPr>
          <w:rFonts w:cs="David" w:hint="cs"/>
          <w:sz w:val="24"/>
          <w:szCs w:val="24"/>
          <w:rtl/>
        </w:rPr>
        <w:t xml:space="preserve"> (ב) </w:t>
      </w:r>
      <w:r w:rsidRPr="00C6050C">
        <w:rPr>
          <w:rFonts w:cs="David" w:hint="cs"/>
          <w:sz w:val="24"/>
          <w:szCs w:val="24"/>
          <w:rtl/>
        </w:rPr>
        <w:t>תרגום מסמכים שהמבקש נדרש להמציא לבוחן (תקנה 36(2));</w:t>
      </w:r>
      <w:r w:rsidR="00C6050C">
        <w:rPr>
          <w:rFonts w:cs="David" w:hint="cs"/>
          <w:sz w:val="24"/>
          <w:szCs w:val="24"/>
          <w:rtl/>
        </w:rPr>
        <w:t xml:space="preserve"> (ג) </w:t>
      </w:r>
      <w:r w:rsidRPr="00C6050C">
        <w:rPr>
          <w:rFonts w:cs="David" w:hint="cs"/>
          <w:sz w:val="24"/>
          <w:szCs w:val="24"/>
          <w:rtl/>
        </w:rPr>
        <w:t>תרגום מסמכים שצורפו לכתבי ראיות בהליך התנגדות למתן פטנט (תקנה 64).</w:t>
      </w:r>
    </w:p>
    <w:p w:rsidR="00AD60F3" w:rsidRDefault="00012463" w:rsidP="00E21123">
      <w:pPr>
        <w:pStyle w:val="a6"/>
        <w:numPr>
          <w:ilvl w:val="0"/>
          <w:numId w:val="8"/>
        </w:numPr>
        <w:jc w:val="both"/>
        <w:rPr>
          <w:rFonts w:cs="David"/>
          <w:b/>
          <w:bCs/>
          <w:sz w:val="24"/>
          <w:szCs w:val="24"/>
        </w:rPr>
      </w:pPr>
      <w:r>
        <w:rPr>
          <w:rFonts w:cs="David" w:hint="cs"/>
          <w:b/>
          <w:bCs/>
          <w:sz w:val="24"/>
          <w:szCs w:val="24"/>
          <w:rtl/>
        </w:rPr>
        <w:t>הוספת ליקויים בצורת הבקשה ו</w:t>
      </w:r>
      <w:r w:rsidR="00AD60F3">
        <w:rPr>
          <w:rFonts w:cs="David" w:hint="cs"/>
          <w:b/>
          <w:bCs/>
          <w:sz w:val="24"/>
          <w:szCs w:val="24"/>
          <w:rtl/>
        </w:rPr>
        <w:t xml:space="preserve">שינוי המועד להודעת הרשם על </w:t>
      </w:r>
      <w:r w:rsidR="00E21123">
        <w:rPr>
          <w:rFonts w:cs="David" w:hint="cs"/>
          <w:b/>
          <w:bCs/>
          <w:sz w:val="24"/>
          <w:szCs w:val="24"/>
          <w:rtl/>
        </w:rPr>
        <w:t>הליקויים (תקנה 31)</w:t>
      </w:r>
    </w:p>
    <w:p w:rsidR="00AD60F3" w:rsidRDefault="00AD60F3" w:rsidP="00AD60F3">
      <w:pPr>
        <w:jc w:val="both"/>
        <w:rPr>
          <w:rFonts w:cs="David"/>
          <w:sz w:val="24"/>
          <w:szCs w:val="24"/>
          <w:rtl/>
        </w:rPr>
      </w:pPr>
      <w:r>
        <w:rPr>
          <w:rFonts w:cs="David" w:hint="cs"/>
          <w:sz w:val="24"/>
          <w:szCs w:val="24"/>
          <w:rtl/>
        </w:rPr>
        <w:t xml:space="preserve">סעיף 9 לחוק קובע כי מקומה של בקשת פטנט בתור לדין קדימה נקבע לפי מועד הגשתה כדין </w:t>
      </w:r>
      <w:r>
        <w:rPr>
          <w:rFonts w:cs="David"/>
          <w:sz w:val="24"/>
          <w:szCs w:val="24"/>
          <w:rtl/>
        </w:rPr>
        <w:t>–</w:t>
      </w:r>
      <w:r>
        <w:rPr>
          <w:rFonts w:cs="David" w:hint="cs"/>
          <w:sz w:val="24"/>
          <w:szCs w:val="24"/>
          <w:rtl/>
        </w:rPr>
        <w:t xml:space="preserve"> והראשון בזמן קודם. כדי לקבל מועד הגשה כאמור, יש לעמוד בתנאי סעיף 15 לחוק לפיו </w:t>
      </w:r>
      <w:r>
        <w:rPr>
          <w:rFonts w:cs="David"/>
          <w:sz w:val="24"/>
          <w:szCs w:val="24"/>
          <w:rtl/>
        </w:rPr>
        <w:t>–</w:t>
      </w:r>
      <w:r>
        <w:rPr>
          <w:rFonts w:cs="David" w:hint="cs"/>
          <w:sz w:val="24"/>
          <w:szCs w:val="24"/>
          <w:rtl/>
        </w:rPr>
        <w:t xml:space="preserve"> תאריך בקשת פטנט יהיה הזמן שבו הוגשה לראשונה לרשות, גם אם היה פגם בצורתה. אישור ההגשה הכולל את תאריך הבקשה ניתן למבקש לפי תקנה 29 לתקנות. </w:t>
      </w:r>
    </w:p>
    <w:p w:rsidR="00AD60F3" w:rsidRDefault="00AD60F3" w:rsidP="00012463">
      <w:pPr>
        <w:jc w:val="both"/>
        <w:rPr>
          <w:rFonts w:cs="David"/>
          <w:sz w:val="24"/>
          <w:szCs w:val="24"/>
          <w:rtl/>
        </w:rPr>
      </w:pPr>
      <w:r>
        <w:rPr>
          <w:rFonts w:cs="David" w:hint="cs"/>
          <w:sz w:val="24"/>
          <w:szCs w:val="24"/>
          <w:rtl/>
        </w:rPr>
        <w:t>תקנה 31 קובעת כי "</w:t>
      </w:r>
      <w:r w:rsidRPr="00771EEC">
        <w:rPr>
          <w:rFonts w:cs="David" w:hint="cs"/>
          <w:b/>
          <w:bCs/>
          <w:sz w:val="24"/>
          <w:szCs w:val="24"/>
          <w:rtl/>
        </w:rPr>
        <w:t>בעת</w:t>
      </w:r>
      <w:r>
        <w:rPr>
          <w:rFonts w:cs="David" w:hint="cs"/>
          <w:sz w:val="24"/>
          <w:szCs w:val="24"/>
          <w:rtl/>
        </w:rPr>
        <w:t>" מתן אישור ההגשה לפי תקנה 29</w:t>
      </w:r>
      <w:r w:rsidR="00771EEC">
        <w:rPr>
          <w:rFonts w:cs="David" w:hint="cs"/>
          <w:sz w:val="24"/>
          <w:szCs w:val="24"/>
          <w:rtl/>
        </w:rPr>
        <w:t>,</w:t>
      </w:r>
      <w:r>
        <w:rPr>
          <w:rFonts w:cs="David" w:hint="cs"/>
          <w:sz w:val="24"/>
          <w:szCs w:val="24"/>
          <w:rtl/>
        </w:rPr>
        <w:t xml:space="preserve"> על הרשם להמציא למבקש הו</w:t>
      </w:r>
      <w:r w:rsidR="00012463">
        <w:rPr>
          <w:rFonts w:cs="David" w:hint="cs"/>
          <w:sz w:val="24"/>
          <w:szCs w:val="24"/>
          <w:rtl/>
        </w:rPr>
        <w:t>דעה על פגמים שנמצאו בצורת הבקשה</w:t>
      </w:r>
      <w:r>
        <w:rPr>
          <w:rFonts w:cs="David" w:hint="cs"/>
          <w:sz w:val="24"/>
          <w:szCs w:val="24"/>
          <w:rtl/>
        </w:rPr>
        <w:t xml:space="preserve">. </w:t>
      </w:r>
      <w:r w:rsidR="00012463">
        <w:rPr>
          <w:rFonts w:cs="David" w:hint="cs"/>
          <w:sz w:val="24"/>
          <w:szCs w:val="24"/>
          <w:rtl/>
        </w:rPr>
        <w:t>הפגמים בצורת הבקשה אינם פוגעים בדין</w:t>
      </w:r>
      <w:r w:rsidR="0081623A">
        <w:rPr>
          <w:rFonts w:cs="David" w:hint="cs"/>
          <w:sz w:val="24"/>
          <w:szCs w:val="24"/>
          <w:rtl/>
        </w:rPr>
        <w:t xml:space="preserve"> הקדימה, אך המשמעות של אי תיקונ</w:t>
      </w:r>
      <w:r w:rsidR="00012463">
        <w:rPr>
          <w:rFonts w:cs="David" w:hint="cs"/>
          <w:sz w:val="24"/>
          <w:szCs w:val="24"/>
          <w:rtl/>
        </w:rPr>
        <w:t xml:space="preserve">ם היא שניתן, לאחר הליך, לסרב לבקשת הפטנט. </w:t>
      </w:r>
    </w:p>
    <w:p w:rsidR="00AD60F3" w:rsidRDefault="00AD60F3" w:rsidP="0090108E">
      <w:pPr>
        <w:jc w:val="both"/>
        <w:rPr>
          <w:rFonts w:cs="David"/>
          <w:sz w:val="24"/>
          <w:szCs w:val="24"/>
          <w:rtl/>
        </w:rPr>
      </w:pPr>
      <w:r>
        <w:rPr>
          <w:rFonts w:cs="David" w:hint="cs"/>
          <w:sz w:val="24"/>
          <w:szCs w:val="24"/>
          <w:rtl/>
        </w:rPr>
        <w:t xml:space="preserve">מוצע לתקן את תקנה 31 </w:t>
      </w:r>
      <w:r w:rsidRPr="00771EEC">
        <w:rPr>
          <w:rFonts w:cs="David" w:hint="cs"/>
          <w:b/>
          <w:bCs/>
          <w:sz w:val="24"/>
          <w:szCs w:val="24"/>
          <w:rtl/>
        </w:rPr>
        <w:t xml:space="preserve">ולתת לרשם פרק זמן ארוך יותר למתן הודעה </w:t>
      </w:r>
      <w:r w:rsidR="00771EEC" w:rsidRPr="00771EEC">
        <w:rPr>
          <w:rFonts w:cs="David" w:hint="cs"/>
          <w:b/>
          <w:bCs/>
          <w:sz w:val="24"/>
          <w:szCs w:val="24"/>
          <w:rtl/>
        </w:rPr>
        <w:t>על ליקויים</w:t>
      </w:r>
      <w:r w:rsidR="0081623A">
        <w:rPr>
          <w:rFonts w:cs="David" w:hint="cs"/>
          <w:sz w:val="24"/>
          <w:szCs w:val="24"/>
          <w:rtl/>
        </w:rPr>
        <w:t xml:space="preserve"> </w:t>
      </w:r>
      <w:r w:rsidR="00771EEC">
        <w:rPr>
          <w:rFonts w:cs="David"/>
          <w:sz w:val="24"/>
          <w:szCs w:val="24"/>
          <w:rtl/>
        </w:rPr>
        <w:t>–</w:t>
      </w:r>
      <w:r w:rsidR="00771EEC">
        <w:rPr>
          <w:rFonts w:cs="David" w:hint="cs"/>
          <w:sz w:val="24"/>
          <w:szCs w:val="24"/>
          <w:rtl/>
        </w:rPr>
        <w:t xml:space="preserve"> </w:t>
      </w:r>
      <w:r w:rsidR="0081623A">
        <w:rPr>
          <w:rFonts w:cs="David" w:hint="cs"/>
          <w:sz w:val="24"/>
          <w:szCs w:val="24"/>
          <w:rtl/>
        </w:rPr>
        <w:t>כך שהרשם יודיע למבקש על ה</w:t>
      </w:r>
      <w:r w:rsidR="00771EEC">
        <w:rPr>
          <w:rFonts w:cs="David" w:hint="cs"/>
          <w:sz w:val="24"/>
          <w:szCs w:val="24"/>
          <w:rtl/>
        </w:rPr>
        <w:t>ליקויים "</w:t>
      </w:r>
      <w:r w:rsidR="00771EEC" w:rsidRPr="00771EEC">
        <w:rPr>
          <w:rFonts w:cs="David" w:hint="cs"/>
          <w:b/>
          <w:bCs/>
          <w:sz w:val="24"/>
          <w:szCs w:val="24"/>
          <w:rtl/>
        </w:rPr>
        <w:t>בסמוך ככל האפשר לאחר</w:t>
      </w:r>
      <w:r w:rsidR="00771EEC">
        <w:rPr>
          <w:rFonts w:cs="David" w:hint="cs"/>
          <w:sz w:val="24"/>
          <w:szCs w:val="24"/>
          <w:rtl/>
        </w:rPr>
        <w:t xml:space="preserve"> המצאת אישור ההגשה לפי תקנה 29".</w:t>
      </w:r>
      <w:r w:rsidR="0090108E">
        <w:rPr>
          <w:rFonts w:cs="David" w:hint="cs"/>
          <w:sz w:val="24"/>
          <w:szCs w:val="24"/>
          <w:rtl/>
        </w:rPr>
        <w:t xml:space="preserve"> </w:t>
      </w:r>
    </w:p>
    <w:p w:rsidR="00012463" w:rsidRDefault="0081623A" w:rsidP="003E05D7">
      <w:pPr>
        <w:jc w:val="both"/>
        <w:rPr>
          <w:rFonts w:cs="David"/>
          <w:sz w:val="24"/>
          <w:szCs w:val="24"/>
          <w:rtl/>
        </w:rPr>
      </w:pPr>
      <w:r>
        <w:rPr>
          <w:rFonts w:cs="David" w:hint="cs"/>
          <w:sz w:val="24"/>
          <w:szCs w:val="24"/>
          <w:rtl/>
        </w:rPr>
        <w:t>עוד</w:t>
      </w:r>
      <w:r w:rsidR="00012463">
        <w:rPr>
          <w:rFonts w:cs="David" w:hint="cs"/>
          <w:sz w:val="24"/>
          <w:szCs w:val="24"/>
          <w:rtl/>
        </w:rPr>
        <w:t xml:space="preserve"> מוצע להוסיף ליקויים שייחשבו ליקויים בצורת הבקשה: (א) אם הבקשה לא הוגשה במערכת האלקטרונית כנדרש; (ב) אם הבקשה לא הוגשה בהתקן מחשב כנדרש; (ג) אם לא שולמ</w:t>
      </w:r>
      <w:r w:rsidR="00FE1F91">
        <w:rPr>
          <w:rFonts w:cs="David" w:hint="cs"/>
          <w:sz w:val="24"/>
          <w:szCs w:val="24"/>
          <w:rtl/>
        </w:rPr>
        <w:t>ו</w:t>
      </w:r>
      <w:r w:rsidR="00012463">
        <w:rPr>
          <w:rFonts w:cs="David" w:hint="cs"/>
          <w:sz w:val="24"/>
          <w:szCs w:val="24"/>
          <w:rtl/>
        </w:rPr>
        <w:t xml:space="preserve"> </w:t>
      </w:r>
      <w:r w:rsidR="003E05D7">
        <w:rPr>
          <w:rFonts w:cs="David" w:hint="cs"/>
          <w:sz w:val="24"/>
          <w:szCs w:val="24"/>
          <w:rtl/>
        </w:rPr>
        <w:t>רכיבים מסוי</w:t>
      </w:r>
      <w:r w:rsidR="00FE1F91">
        <w:rPr>
          <w:rFonts w:cs="David" w:hint="cs"/>
          <w:sz w:val="24"/>
          <w:szCs w:val="24"/>
          <w:rtl/>
        </w:rPr>
        <w:t>מים של ה</w:t>
      </w:r>
      <w:r w:rsidR="00012463">
        <w:rPr>
          <w:rFonts w:cs="David" w:hint="cs"/>
          <w:sz w:val="24"/>
          <w:szCs w:val="24"/>
          <w:rtl/>
        </w:rPr>
        <w:t>אגרה על הגשת בקשה; (ד) אם שולמה אגרה מופחתת כשהמבקש אינו זכאי להפחתה.</w:t>
      </w:r>
    </w:p>
    <w:p w:rsidR="00C62AB8" w:rsidRDefault="00771EEC" w:rsidP="00215A2F">
      <w:pPr>
        <w:jc w:val="both"/>
        <w:rPr>
          <w:rFonts w:cs="David"/>
          <w:sz w:val="24"/>
          <w:szCs w:val="24"/>
          <w:rtl/>
        </w:rPr>
      </w:pPr>
      <w:r w:rsidRPr="00F039D3">
        <w:rPr>
          <w:rFonts w:cs="David" w:hint="cs"/>
          <w:sz w:val="24"/>
          <w:szCs w:val="24"/>
          <w:highlight w:val="yellow"/>
          <w:u w:val="single"/>
          <w:rtl/>
        </w:rPr>
        <w:t>לדיון</w:t>
      </w:r>
      <w:r>
        <w:rPr>
          <w:rFonts w:cs="David" w:hint="cs"/>
          <w:sz w:val="24"/>
          <w:szCs w:val="24"/>
          <w:rtl/>
        </w:rPr>
        <w:t>: מוצע לברר מה פרק הזמן שבכוונת הרשות לה</w:t>
      </w:r>
      <w:r w:rsidR="0081623A">
        <w:rPr>
          <w:rFonts w:cs="David" w:hint="cs"/>
          <w:sz w:val="24"/>
          <w:szCs w:val="24"/>
          <w:rtl/>
        </w:rPr>
        <w:t>תיר לצורך שליחה הודעת הליקויים.</w:t>
      </w:r>
      <w:r w:rsidR="0090108E" w:rsidRPr="0090108E">
        <w:rPr>
          <w:rFonts w:cs="David" w:hint="cs"/>
          <w:sz w:val="24"/>
          <w:szCs w:val="24"/>
          <w:rtl/>
        </w:rPr>
        <w:t xml:space="preserve"> </w:t>
      </w:r>
      <w:r w:rsidR="00DF31D9">
        <w:rPr>
          <w:rFonts w:cs="David" w:hint="cs"/>
          <w:sz w:val="24"/>
          <w:szCs w:val="24"/>
          <w:rtl/>
        </w:rPr>
        <w:t xml:space="preserve">ברור כי </w:t>
      </w:r>
      <w:r w:rsidR="0090108E">
        <w:rPr>
          <w:rFonts w:cs="David" w:hint="cs"/>
          <w:sz w:val="24"/>
          <w:szCs w:val="24"/>
          <w:rtl/>
        </w:rPr>
        <w:t>על אף שהביטוי "סמוך ככל האפשר" מותיר מקום לשיקול דעת של הרשות המינהלית, משמעו תוך פרק זמן קצר ביותר</w:t>
      </w:r>
      <w:r w:rsidR="00B96D76">
        <w:rPr>
          <w:rFonts w:cs="David" w:hint="cs"/>
          <w:sz w:val="24"/>
          <w:szCs w:val="24"/>
          <w:rtl/>
        </w:rPr>
        <w:t>, כלומר תוך ימים ספורים, למעט במקרים חריגים</w:t>
      </w:r>
      <w:r w:rsidR="0090108E">
        <w:rPr>
          <w:rFonts w:cs="David" w:hint="cs"/>
          <w:sz w:val="24"/>
          <w:szCs w:val="24"/>
          <w:rtl/>
        </w:rPr>
        <w:t>.</w:t>
      </w:r>
    </w:p>
    <w:p w:rsidR="006847DD" w:rsidRDefault="006847DD" w:rsidP="006847DD">
      <w:pPr>
        <w:pStyle w:val="a6"/>
        <w:numPr>
          <w:ilvl w:val="0"/>
          <w:numId w:val="8"/>
        </w:numPr>
        <w:jc w:val="both"/>
        <w:rPr>
          <w:rFonts w:cs="David"/>
          <w:b/>
          <w:bCs/>
          <w:sz w:val="24"/>
          <w:szCs w:val="24"/>
        </w:rPr>
      </w:pPr>
      <w:r>
        <w:rPr>
          <w:rFonts w:cs="David" w:hint="cs"/>
          <w:b/>
          <w:bCs/>
          <w:sz w:val="24"/>
          <w:szCs w:val="24"/>
          <w:rtl/>
        </w:rPr>
        <w:t>מתמחים ונבחנים</w:t>
      </w:r>
      <w:r w:rsidR="00E21123">
        <w:rPr>
          <w:rFonts w:cs="David" w:hint="cs"/>
          <w:b/>
          <w:bCs/>
          <w:sz w:val="24"/>
          <w:szCs w:val="24"/>
          <w:rtl/>
        </w:rPr>
        <w:t xml:space="preserve"> (תקנות 126, 129, 130, 136)</w:t>
      </w:r>
    </w:p>
    <w:p w:rsidR="006847DD" w:rsidRDefault="006847DD" w:rsidP="00F563AC">
      <w:pPr>
        <w:pStyle w:val="a6"/>
        <w:numPr>
          <w:ilvl w:val="1"/>
          <w:numId w:val="8"/>
        </w:numPr>
        <w:spacing w:after="0" w:line="240" w:lineRule="auto"/>
        <w:ind w:left="368"/>
        <w:contextualSpacing w:val="0"/>
        <w:jc w:val="both"/>
        <w:rPr>
          <w:rFonts w:cs="David"/>
          <w:sz w:val="24"/>
          <w:szCs w:val="24"/>
        </w:rPr>
      </w:pPr>
      <w:r w:rsidRPr="00EB0CAC">
        <w:rPr>
          <w:rFonts w:cs="David" w:hint="cs"/>
          <w:b/>
          <w:bCs/>
          <w:sz w:val="24"/>
          <w:szCs w:val="24"/>
          <w:rtl/>
        </w:rPr>
        <w:t>דרכי תקשורת עם המתמחים</w:t>
      </w:r>
      <w:r>
        <w:rPr>
          <w:rFonts w:cs="David" w:hint="cs"/>
          <w:sz w:val="24"/>
          <w:szCs w:val="24"/>
          <w:rtl/>
        </w:rPr>
        <w:t xml:space="preserve">: אגב הסדרת האפשרות לקבל מהרשות מסמכים בדוא"ל, מוצע להסדיר את הצמתים בהן יעביר מתמחה או נבחן את אמצעי הקשר עמו לרשות, לרבות דוא"ל: </w:t>
      </w:r>
    </w:p>
    <w:p w:rsidR="006847DD" w:rsidRDefault="006847DD" w:rsidP="006847DD">
      <w:pPr>
        <w:pStyle w:val="a6"/>
        <w:numPr>
          <w:ilvl w:val="0"/>
          <w:numId w:val="32"/>
        </w:numPr>
        <w:spacing w:after="0" w:line="240" w:lineRule="auto"/>
        <w:contextualSpacing w:val="0"/>
        <w:jc w:val="both"/>
        <w:rPr>
          <w:rFonts w:cs="David"/>
          <w:sz w:val="24"/>
          <w:szCs w:val="24"/>
        </w:rPr>
      </w:pPr>
      <w:r>
        <w:rPr>
          <w:rFonts w:cs="David" w:hint="cs"/>
          <w:sz w:val="24"/>
          <w:szCs w:val="24"/>
          <w:rtl/>
        </w:rPr>
        <w:t xml:space="preserve">בתקנה 126 מוצע לקבוע כי </w:t>
      </w:r>
      <w:r w:rsidRPr="00215A2F">
        <w:rPr>
          <w:rFonts w:cs="David" w:hint="cs"/>
          <w:sz w:val="24"/>
          <w:szCs w:val="24"/>
          <w:rtl/>
        </w:rPr>
        <w:t>מי שמבקש להיבחן</w:t>
      </w:r>
      <w:r>
        <w:rPr>
          <w:rFonts w:cs="David" w:hint="cs"/>
          <w:sz w:val="24"/>
          <w:szCs w:val="24"/>
          <w:rtl/>
        </w:rPr>
        <w:t xml:space="preserve"> ימסור לרשות את מענו למסירת הודעות ומסמכים, והוא רשאי למסור כתובת דוא"ל. </w:t>
      </w:r>
    </w:p>
    <w:p w:rsidR="006847DD" w:rsidRPr="00215A2F" w:rsidRDefault="006847DD" w:rsidP="00215A2F">
      <w:pPr>
        <w:pStyle w:val="a6"/>
        <w:numPr>
          <w:ilvl w:val="0"/>
          <w:numId w:val="32"/>
        </w:numPr>
        <w:spacing w:after="0" w:line="240" w:lineRule="auto"/>
        <w:contextualSpacing w:val="0"/>
        <w:jc w:val="both"/>
        <w:rPr>
          <w:rFonts w:cs="David"/>
          <w:sz w:val="24"/>
          <w:szCs w:val="24"/>
        </w:rPr>
      </w:pPr>
      <w:r w:rsidRPr="00215A2F">
        <w:rPr>
          <w:rFonts w:cs="David" w:hint="cs"/>
          <w:sz w:val="24"/>
          <w:szCs w:val="24"/>
          <w:rtl/>
        </w:rPr>
        <w:t>בתקנה 136 מוצע לקבוע כי</w:t>
      </w:r>
      <w:r w:rsidR="00505ADE" w:rsidRPr="00215A2F">
        <w:rPr>
          <w:rFonts w:cs="David" w:hint="cs"/>
          <w:sz w:val="24"/>
          <w:szCs w:val="24"/>
          <w:rtl/>
        </w:rPr>
        <w:t xml:space="preserve"> בעת הגשת תעודה להוכחת</w:t>
      </w:r>
      <w:r w:rsidRPr="00215A2F">
        <w:rPr>
          <w:rFonts w:cs="David" w:hint="cs"/>
          <w:sz w:val="24"/>
          <w:szCs w:val="24"/>
          <w:rtl/>
        </w:rPr>
        <w:t xml:space="preserve"> ההתמחות, יפרט המאמן את </w:t>
      </w:r>
      <w:r w:rsidR="00215A2F">
        <w:rPr>
          <w:rFonts w:cs="David" w:hint="cs"/>
          <w:sz w:val="24"/>
          <w:szCs w:val="24"/>
          <w:rtl/>
        </w:rPr>
        <w:t>מענו ואת מענו של</w:t>
      </w:r>
      <w:r w:rsidRPr="00215A2F">
        <w:rPr>
          <w:rFonts w:cs="David" w:hint="cs"/>
          <w:sz w:val="24"/>
          <w:szCs w:val="24"/>
          <w:rtl/>
        </w:rPr>
        <w:t xml:space="preserve"> המתמחה, לרבות כתובת דוא"ל אם ברצונם לקבל כך מסמכים מהרשות בנוגע להתמחות (למעט תעודת עורך פטנטים). </w:t>
      </w:r>
    </w:p>
    <w:p w:rsidR="006847DD" w:rsidRDefault="006847DD" w:rsidP="00F563AC">
      <w:pPr>
        <w:pStyle w:val="a6"/>
        <w:numPr>
          <w:ilvl w:val="1"/>
          <w:numId w:val="8"/>
        </w:numPr>
        <w:spacing w:after="0" w:line="240" w:lineRule="auto"/>
        <w:ind w:left="368"/>
        <w:contextualSpacing w:val="0"/>
        <w:jc w:val="both"/>
        <w:rPr>
          <w:rFonts w:cs="David"/>
          <w:sz w:val="24"/>
          <w:szCs w:val="24"/>
        </w:rPr>
      </w:pPr>
      <w:r w:rsidRPr="00215A2F">
        <w:rPr>
          <w:rFonts w:cs="David" w:hint="cs"/>
          <w:b/>
          <w:bCs/>
          <w:sz w:val="24"/>
          <w:szCs w:val="24"/>
          <w:rtl/>
        </w:rPr>
        <w:t>מספר שפות בבחינה</w:t>
      </w:r>
      <w:r w:rsidRPr="00215A2F">
        <w:rPr>
          <w:rFonts w:cs="David" w:hint="cs"/>
          <w:sz w:val="24"/>
          <w:szCs w:val="24"/>
          <w:rtl/>
        </w:rPr>
        <w:t>: לפי סעיף 143 לחוק, על הנבחן לעמוד, בין היתר, בבחינה בה יוכיח כי</w:t>
      </w:r>
      <w:r>
        <w:rPr>
          <w:rFonts w:cs="David" w:hint="cs"/>
          <w:sz w:val="24"/>
          <w:szCs w:val="24"/>
          <w:rtl/>
        </w:rPr>
        <w:t xml:space="preserve"> "הוא שולט </w:t>
      </w:r>
      <w:r w:rsidRPr="00F563AC">
        <w:rPr>
          <w:rFonts w:cs="David" w:hint="cs"/>
          <w:b/>
          <w:bCs/>
          <w:sz w:val="24"/>
          <w:szCs w:val="24"/>
          <w:rtl/>
        </w:rPr>
        <w:t>בשפה העברית</w:t>
      </w:r>
      <w:r>
        <w:rPr>
          <w:rFonts w:cs="David" w:hint="cs"/>
          <w:sz w:val="24"/>
          <w:szCs w:val="24"/>
          <w:rtl/>
        </w:rPr>
        <w:t xml:space="preserve"> </w:t>
      </w:r>
      <w:r w:rsidRPr="00EB0CAC">
        <w:rPr>
          <w:rFonts w:cs="David" w:hint="cs"/>
          <w:b/>
          <w:bCs/>
          <w:sz w:val="24"/>
          <w:szCs w:val="24"/>
          <w:rtl/>
        </w:rPr>
        <w:t>ובעוד שפה אחת</w:t>
      </w:r>
      <w:r>
        <w:rPr>
          <w:rFonts w:cs="David" w:hint="cs"/>
          <w:sz w:val="24"/>
          <w:szCs w:val="24"/>
          <w:rtl/>
        </w:rPr>
        <w:t xml:space="preserve"> הדרושה לו לצורך עבודתו, כפי שנקבע". ואולם, התקנות קובעות היום כי הנבחן ייבחן </w:t>
      </w:r>
      <w:r w:rsidRPr="00EB0CAC">
        <w:rPr>
          <w:rFonts w:cs="David" w:hint="cs"/>
          <w:b/>
          <w:bCs/>
          <w:sz w:val="24"/>
          <w:szCs w:val="24"/>
          <w:rtl/>
        </w:rPr>
        <w:t>בשתי שפות בנוסף לשפה העברית</w:t>
      </w:r>
      <w:r>
        <w:rPr>
          <w:rFonts w:cs="David" w:hint="cs"/>
          <w:sz w:val="24"/>
          <w:szCs w:val="24"/>
          <w:rtl/>
        </w:rPr>
        <w:t>. מוצע להתאים את התקנות לדרישת החוק (תקנות 126 ו-129).</w:t>
      </w:r>
    </w:p>
    <w:p w:rsidR="006847DD" w:rsidRDefault="006847DD" w:rsidP="006847DD">
      <w:pPr>
        <w:pStyle w:val="a6"/>
        <w:numPr>
          <w:ilvl w:val="1"/>
          <w:numId w:val="8"/>
        </w:numPr>
        <w:spacing w:after="0" w:line="240" w:lineRule="auto"/>
        <w:ind w:left="368"/>
        <w:contextualSpacing w:val="0"/>
        <w:jc w:val="both"/>
        <w:rPr>
          <w:rFonts w:cs="David"/>
          <w:sz w:val="24"/>
          <w:szCs w:val="24"/>
        </w:rPr>
      </w:pPr>
      <w:r w:rsidRPr="006847DD">
        <w:rPr>
          <w:rFonts w:cs="David" w:hint="cs"/>
          <w:b/>
          <w:bCs/>
          <w:sz w:val="24"/>
          <w:szCs w:val="24"/>
          <w:rtl/>
        </w:rPr>
        <w:t xml:space="preserve">עריכת פירוט בבחינה בשפה </w:t>
      </w:r>
      <w:r>
        <w:rPr>
          <w:rFonts w:cs="David" w:hint="cs"/>
          <w:b/>
          <w:bCs/>
          <w:sz w:val="24"/>
          <w:szCs w:val="24"/>
          <w:rtl/>
        </w:rPr>
        <w:t>ה</w:t>
      </w:r>
      <w:r w:rsidRPr="006847DD">
        <w:rPr>
          <w:rFonts w:cs="David" w:hint="cs"/>
          <w:b/>
          <w:bCs/>
          <w:sz w:val="24"/>
          <w:szCs w:val="24"/>
          <w:rtl/>
        </w:rPr>
        <w:t>אנגלית</w:t>
      </w:r>
      <w:r>
        <w:rPr>
          <w:rFonts w:cs="David" w:hint="cs"/>
          <w:sz w:val="24"/>
          <w:szCs w:val="24"/>
          <w:rtl/>
        </w:rPr>
        <w:t xml:space="preserve">: מוצע לאפשר לנבחן בבחינות ההסמכה לערוך פירוט גם בשפה האנגלית, ולא רק בשפה רשמית </w:t>
      </w:r>
      <w:r w:rsidRPr="006847DD">
        <w:rPr>
          <w:rFonts w:cs="David" w:hint="cs"/>
          <w:sz w:val="24"/>
          <w:szCs w:val="24"/>
          <w:rtl/>
        </w:rPr>
        <w:t>(תקנה 130).</w:t>
      </w:r>
    </w:p>
    <w:p w:rsidR="001A567B" w:rsidRPr="00215A2F" w:rsidRDefault="007D4EDE" w:rsidP="00215A2F">
      <w:pPr>
        <w:pStyle w:val="a6"/>
        <w:spacing w:after="0" w:line="240" w:lineRule="auto"/>
        <w:ind w:left="368"/>
        <w:contextualSpacing w:val="0"/>
        <w:jc w:val="both"/>
        <w:rPr>
          <w:rFonts w:cs="David"/>
          <w:sz w:val="24"/>
          <w:szCs w:val="24"/>
          <w:highlight w:val="yellow"/>
          <w:u w:val="single"/>
          <w:rtl/>
        </w:rPr>
      </w:pPr>
      <w:r>
        <w:rPr>
          <w:rFonts w:cs="David" w:hint="cs"/>
          <w:b/>
          <w:bCs/>
          <w:sz w:val="24"/>
          <w:szCs w:val="24"/>
          <w:rtl/>
        </w:rPr>
        <w:t>מספר מועדי בחינות</w:t>
      </w:r>
      <w:r w:rsidRPr="007D4EDE">
        <w:rPr>
          <w:rFonts w:cs="David" w:hint="cs"/>
          <w:sz w:val="24"/>
          <w:szCs w:val="24"/>
          <w:rtl/>
        </w:rPr>
        <w:t>:</w:t>
      </w:r>
      <w:r>
        <w:rPr>
          <w:rFonts w:cs="David" w:hint="cs"/>
          <w:sz w:val="24"/>
          <w:szCs w:val="24"/>
          <w:rtl/>
        </w:rPr>
        <w:t xml:space="preserve"> </w:t>
      </w:r>
      <w:r w:rsidR="00B776EF" w:rsidRPr="00B776EF">
        <w:rPr>
          <w:rFonts w:cs="David" w:hint="cs"/>
          <w:sz w:val="24"/>
          <w:szCs w:val="24"/>
          <w:rtl/>
        </w:rPr>
        <w:t>מוצע לקבוע כי בחינות ההסמכה לעורכי פטנטים ייערכו פעמיים בשנה, במקום שלוש פעמים כפי שקבוע היום בתקנה 124. לעמדת הרשות, הדבר מוצדק הן</w:t>
      </w:r>
      <w:r w:rsidR="00B776EF" w:rsidRPr="00B776EF">
        <w:rPr>
          <w:rFonts w:cs="David"/>
          <w:sz w:val="24"/>
          <w:szCs w:val="24"/>
          <w:rtl/>
        </w:rPr>
        <w:t xml:space="preserve"> </w:t>
      </w:r>
      <w:r w:rsidR="00B776EF" w:rsidRPr="00B776EF">
        <w:rPr>
          <w:rFonts w:cs="David" w:hint="cs"/>
          <w:sz w:val="24"/>
          <w:szCs w:val="24"/>
          <w:rtl/>
        </w:rPr>
        <w:t>מצד</w:t>
      </w:r>
      <w:r w:rsidR="00B776EF" w:rsidRPr="00B776EF">
        <w:rPr>
          <w:rFonts w:cs="David"/>
          <w:sz w:val="24"/>
          <w:szCs w:val="24"/>
          <w:rtl/>
        </w:rPr>
        <w:t xml:space="preserve"> </w:t>
      </w:r>
      <w:r w:rsidR="00B776EF" w:rsidRPr="00B776EF">
        <w:rPr>
          <w:rFonts w:cs="David" w:hint="cs"/>
          <w:sz w:val="24"/>
          <w:szCs w:val="24"/>
          <w:rtl/>
        </w:rPr>
        <w:t>מספר</w:t>
      </w:r>
      <w:r w:rsidR="00B776EF" w:rsidRPr="00B776EF">
        <w:rPr>
          <w:rFonts w:cs="David"/>
          <w:sz w:val="24"/>
          <w:szCs w:val="24"/>
          <w:rtl/>
        </w:rPr>
        <w:t xml:space="preserve"> </w:t>
      </w:r>
      <w:r w:rsidR="00B776EF" w:rsidRPr="00B776EF">
        <w:rPr>
          <w:rFonts w:cs="David" w:hint="cs"/>
          <w:sz w:val="24"/>
          <w:szCs w:val="24"/>
          <w:rtl/>
        </w:rPr>
        <w:t>הנבחנים והן</w:t>
      </w:r>
      <w:r w:rsidR="00B776EF" w:rsidRPr="00B776EF">
        <w:rPr>
          <w:rFonts w:cs="David"/>
          <w:sz w:val="24"/>
          <w:szCs w:val="24"/>
          <w:rtl/>
        </w:rPr>
        <w:t xml:space="preserve"> </w:t>
      </w:r>
      <w:r w:rsidR="00B776EF" w:rsidRPr="00B776EF">
        <w:rPr>
          <w:rFonts w:cs="David" w:hint="cs"/>
          <w:sz w:val="24"/>
          <w:szCs w:val="24"/>
          <w:rtl/>
        </w:rPr>
        <w:t>מבחינת</w:t>
      </w:r>
      <w:r w:rsidR="00B776EF" w:rsidRPr="00B776EF">
        <w:rPr>
          <w:rFonts w:cs="David"/>
          <w:sz w:val="24"/>
          <w:szCs w:val="24"/>
          <w:rtl/>
        </w:rPr>
        <w:t xml:space="preserve"> </w:t>
      </w:r>
      <w:r w:rsidR="00B776EF" w:rsidRPr="00B776EF">
        <w:rPr>
          <w:rFonts w:cs="David" w:hint="cs"/>
          <w:sz w:val="24"/>
          <w:szCs w:val="24"/>
          <w:rtl/>
        </w:rPr>
        <w:t>המשאבים</w:t>
      </w:r>
      <w:r w:rsidR="00B776EF" w:rsidRPr="00B776EF">
        <w:rPr>
          <w:rFonts w:cs="David"/>
          <w:sz w:val="24"/>
          <w:szCs w:val="24"/>
          <w:rtl/>
        </w:rPr>
        <w:t xml:space="preserve"> </w:t>
      </w:r>
      <w:r w:rsidR="00B776EF" w:rsidRPr="00B776EF">
        <w:rPr>
          <w:rFonts w:cs="David" w:hint="cs"/>
          <w:sz w:val="24"/>
          <w:szCs w:val="24"/>
          <w:rtl/>
        </w:rPr>
        <w:t>הנדרשים</w:t>
      </w:r>
      <w:r w:rsidR="00B776EF" w:rsidRPr="00B776EF">
        <w:rPr>
          <w:rFonts w:cs="David"/>
          <w:sz w:val="24"/>
          <w:szCs w:val="24"/>
          <w:rtl/>
        </w:rPr>
        <w:t xml:space="preserve"> </w:t>
      </w:r>
      <w:r w:rsidR="00B776EF" w:rsidRPr="00B776EF">
        <w:rPr>
          <w:rFonts w:cs="David" w:hint="cs"/>
          <w:sz w:val="24"/>
          <w:szCs w:val="24"/>
          <w:rtl/>
        </w:rPr>
        <w:t>לצורך</w:t>
      </w:r>
      <w:r w:rsidR="00B776EF" w:rsidRPr="00B776EF">
        <w:rPr>
          <w:rFonts w:cs="David"/>
          <w:sz w:val="24"/>
          <w:szCs w:val="24"/>
          <w:rtl/>
        </w:rPr>
        <w:t xml:space="preserve"> </w:t>
      </w:r>
      <w:r w:rsidR="00B776EF" w:rsidRPr="00B776EF">
        <w:rPr>
          <w:rFonts w:cs="David" w:hint="cs"/>
          <w:sz w:val="24"/>
          <w:szCs w:val="24"/>
          <w:rtl/>
        </w:rPr>
        <w:t>ארגון</w:t>
      </w:r>
      <w:r w:rsidR="00B776EF" w:rsidRPr="00B776EF">
        <w:rPr>
          <w:rFonts w:cs="David"/>
          <w:sz w:val="24"/>
          <w:szCs w:val="24"/>
          <w:rtl/>
        </w:rPr>
        <w:t xml:space="preserve"> </w:t>
      </w:r>
      <w:r w:rsidR="00B776EF" w:rsidRPr="00B776EF">
        <w:rPr>
          <w:rFonts w:cs="David" w:hint="cs"/>
          <w:sz w:val="24"/>
          <w:szCs w:val="24"/>
          <w:rtl/>
        </w:rPr>
        <w:t>הבחינות</w:t>
      </w:r>
      <w:r w:rsidR="00B776EF">
        <w:rPr>
          <w:rFonts w:cs="David" w:hint="cs"/>
          <w:sz w:val="24"/>
          <w:szCs w:val="24"/>
          <w:rtl/>
        </w:rPr>
        <w:t>. לצד זאת, מוצע לבטל את המגבלה על יכולתו של נבחן לגשת לבחינה חוזרת (ת</w:t>
      </w:r>
      <w:r w:rsidR="00215A2F">
        <w:rPr>
          <w:rFonts w:cs="David" w:hint="cs"/>
          <w:sz w:val="24"/>
          <w:szCs w:val="24"/>
          <w:rtl/>
        </w:rPr>
        <w:t xml:space="preserve">קנה </w:t>
      </w:r>
      <w:r w:rsidR="00B776EF">
        <w:rPr>
          <w:rFonts w:cs="David" w:hint="cs"/>
          <w:sz w:val="24"/>
          <w:szCs w:val="24"/>
          <w:rtl/>
        </w:rPr>
        <w:t>131)</w:t>
      </w:r>
      <w:r w:rsidR="00B776EF" w:rsidRPr="00B776EF">
        <w:rPr>
          <w:rFonts w:cs="David"/>
          <w:sz w:val="24"/>
          <w:szCs w:val="24"/>
          <w:rtl/>
        </w:rPr>
        <w:t>.</w:t>
      </w:r>
      <w:r w:rsidR="009A778C">
        <w:rPr>
          <w:rFonts w:cs="David" w:hint="cs"/>
          <w:sz w:val="24"/>
          <w:szCs w:val="24"/>
          <w:rtl/>
        </w:rPr>
        <w:t xml:space="preserve"> </w:t>
      </w:r>
      <w:r w:rsidR="00215A2F">
        <w:rPr>
          <w:rFonts w:cs="David" w:hint="cs"/>
          <w:sz w:val="24"/>
          <w:szCs w:val="24"/>
          <w:rtl/>
        </w:rPr>
        <w:t>יצוין כי</w:t>
      </w:r>
      <w:r w:rsidR="009A778C">
        <w:rPr>
          <w:rFonts w:cs="David" w:hint="cs"/>
          <w:sz w:val="24"/>
          <w:szCs w:val="24"/>
          <w:rtl/>
        </w:rPr>
        <w:t xml:space="preserve"> גם כיום נערכים רק שני מועדי בחינות בשנה, ולכל אחד מהם ניגשים כמה עשרות נבחנים.</w:t>
      </w:r>
    </w:p>
    <w:p w:rsidR="00215A2F" w:rsidRPr="00215A2F" w:rsidRDefault="00215A2F" w:rsidP="00215A2F">
      <w:pPr>
        <w:jc w:val="both"/>
        <w:rPr>
          <w:rFonts w:cs="David"/>
          <w:sz w:val="4"/>
          <w:szCs w:val="4"/>
          <w:highlight w:val="yellow"/>
          <w:u w:val="single"/>
          <w:rtl/>
        </w:rPr>
      </w:pPr>
    </w:p>
    <w:p w:rsidR="001A567B" w:rsidRPr="00215A2F" w:rsidRDefault="001A567B" w:rsidP="00215A2F">
      <w:pPr>
        <w:jc w:val="both"/>
        <w:rPr>
          <w:rFonts w:cs="David"/>
          <w:sz w:val="24"/>
          <w:szCs w:val="24"/>
          <w:u w:val="single"/>
          <w:rtl/>
        </w:rPr>
      </w:pPr>
      <w:r w:rsidRPr="00215A2F">
        <w:rPr>
          <w:rFonts w:cs="David" w:hint="cs"/>
          <w:sz w:val="24"/>
          <w:szCs w:val="24"/>
          <w:highlight w:val="yellow"/>
          <w:u w:val="single"/>
          <w:rtl/>
        </w:rPr>
        <w:t>לדיון</w:t>
      </w:r>
      <w:r w:rsidRPr="00215A2F">
        <w:rPr>
          <w:rFonts w:cs="David" w:hint="cs"/>
          <w:sz w:val="24"/>
          <w:szCs w:val="24"/>
          <w:rtl/>
        </w:rPr>
        <w:t xml:space="preserve">: מוצע להסדיר </w:t>
      </w:r>
      <w:r w:rsidR="009A778C">
        <w:rPr>
          <w:rFonts w:cs="David" w:hint="cs"/>
          <w:sz w:val="24"/>
          <w:szCs w:val="24"/>
          <w:rtl/>
        </w:rPr>
        <w:t xml:space="preserve">בתקנות </w:t>
      </w:r>
      <w:r w:rsidRPr="00215A2F">
        <w:rPr>
          <w:rFonts w:cs="David" w:hint="cs"/>
          <w:sz w:val="24"/>
          <w:szCs w:val="24"/>
          <w:rtl/>
        </w:rPr>
        <w:t>את התקשורת בין הרשות לבין המתמחים כבר בעת תחילת ההתמחות</w:t>
      </w:r>
      <w:r>
        <w:rPr>
          <w:rFonts w:cs="David" w:hint="cs"/>
          <w:sz w:val="24"/>
          <w:szCs w:val="24"/>
          <w:rtl/>
        </w:rPr>
        <w:t xml:space="preserve">. נוסח </w:t>
      </w:r>
      <w:r w:rsidR="009A778C">
        <w:rPr>
          <w:rFonts w:cs="David" w:hint="cs"/>
          <w:sz w:val="24"/>
          <w:szCs w:val="24"/>
          <w:rtl/>
        </w:rPr>
        <w:t>מוצע להוספה בתקנה 136</w:t>
      </w:r>
      <w:r>
        <w:rPr>
          <w:rFonts w:cs="David" w:hint="cs"/>
          <w:sz w:val="24"/>
          <w:szCs w:val="24"/>
          <w:rtl/>
        </w:rPr>
        <w:t xml:space="preserve">: </w:t>
      </w:r>
      <w:r w:rsidR="009A778C" w:rsidRPr="00215A2F">
        <w:rPr>
          <w:rFonts w:cs="David" w:hint="cs"/>
          <w:sz w:val="24"/>
          <w:szCs w:val="24"/>
          <w:rtl/>
        </w:rPr>
        <w:t>"עם תחילת ההתמחות, יודיע המתמחה לרשות על תחילת התמחותו בצירוף אישור בכתב מאת המאמן על תחילת ההתמחות; בהודעה יפרט המתמחה את מענו למסירת מסמכים והודעות כאמור בתקנה 16(א) ורשאי הוא למסור גם כתובת דואר אלקטרוני, אם הוא מעוניין לקבל בדרך זו מסמכים והודעות מהרשות הנוגעים להתמחותו, למעט תעודת עורך פטנטים".</w:t>
      </w:r>
    </w:p>
    <w:p w:rsidR="002D7CC4" w:rsidRPr="002D7CC4" w:rsidRDefault="002D7CC4" w:rsidP="002D7CC4">
      <w:pPr>
        <w:pStyle w:val="a6"/>
        <w:numPr>
          <w:ilvl w:val="0"/>
          <w:numId w:val="8"/>
        </w:numPr>
        <w:jc w:val="both"/>
        <w:rPr>
          <w:rFonts w:cs="David"/>
          <w:b/>
          <w:bCs/>
          <w:sz w:val="24"/>
          <w:szCs w:val="24"/>
        </w:rPr>
      </w:pPr>
      <w:r w:rsidRPr="002D7CC4">
        <w:rPr>
          <w:rFonts w:cs="David" w:hint="cs"/>
          <w:b/>
          <w:bCs/>
          <w:sz w:val="24"/>
          <w:szCs w:val="24"/>
          <w:rtl/>
        </w:rPr>
        <w:t>תיקון הליך השגה על פעולות בוחן</w:t>
      </w:r>
      <w:r w:rsidR="00C62AB8">
        <w:rPr>
          <w:rFonts w:cs="David" w:hint="cs"/>
          <w:b/>
          <w:bCs/>
          <w:sz w:val="24"/>
          <w:szCs w:val="24"/>
          <w:rtl/>
        </w:rPr>
        <w:t xml:space="preserve"> (תקנה 150)</w:t>
      </w:r>
    </w:p>
    <w:p w:rsidR="000474FB" w:rsidRDefault="000474FB" w:rsidP="00EF0679">
      <w:pPr>
        <w:jc w:val="both"/>
        <w:rPr>
          <w:rFonts w:cs="David"/>
          <w:sz w:val="24"/>
          <w:szCs w:val="24"/>
          <w:rtl/>
        </w:rPr>
      </w:pPr>
      <w:r>
        <w:rPr>
          <w:rFonts w:cs="David" w:hint="cs"/>
          <w:sz w:val="24"/>
          <w:szCs w:val="24"/>
          <w:rtl/>
        </w:rPr>
        <w:lastRenderedPageBreak/>
        <w:t xml:space="preserve">סעיף 161 לחוק קובע </w:t>
      </w:r>
      <w:r w:rsidR="00EF0679">
        <w:rPr>
          <w:rFonts w:cs="David" w:hint="cs"/>
          <w:sz w:val="24"/>
          <w:szCs w:val="24"/>
          <w:rtl/>
        </w:rPr>
        <w:t>כי מותר</w:t>
      </w:r>
      <w:r>
        <w:rPr>
          <w:rFonts w:cs="David" w:hint="cs"/>
          <w:sz w:val="24"/>
          <w:szCs w:val="24"/>
          <w:rtl/>
        </w:rPr>
        <w:t xml:space="preserve"> להשיג על החלטת בוחן </w:t>
      </w:r>
      <w:r w:rsidR="00EF0679">
        <w:rPr>
          <w:rFonts w:cs="David" w:hint="cs"/>
          <w:sz w:val="24"/>
          <w:szCs w:val="24"/>
          <w:rtl/>
        </w:rPr>
        <w:t>בפני הרשם. בתקנות</w:t>
      </w:r>
      <w:r>
        <w:rPr>
          <w:rFonts w:cs="David" w:hint="cs"/>
          <w:sz w:val="24"/>
          <w:szCs w:val="24"/>
          <w:rtl/>
        </w:rPr>
        <w:t xml:space="preserve"> </w:t>
      </w:r>
      <w:r w:rsidR="00EF0679">
        <w:rPr>
          <w:rFonts w:cs="David" w:hint="cs"/>
          <w:sz w:val="24"/>
          <w:szCs w:val="24"/>
          <w:rtl/>
        </w:rPr>
        <w:t>ישנן</w:t>
      </w:r>
      <w:r>
        <w:rPr>
          <w:rFonts w:cs="David" w:hint="cs"/>
          <w:sz w:val="24"/>
          <w:szCs w:val="24"/>
          <w:rtl/>
        </w:rPr>
        <w:t xml:space="preserve"> </w:t>
      </w:r>
      <w:r w:rsidR="00EF0679">
        <w:rPr>
          <w:rFonts w:cs="David" w:hint="cs"/>
          <w:sz w:val="24"/>
          <w:szCs w:val="24"/>
          <w:rtl/>
        </w:rPr>
        <w:t>שתי דרכים</w:t>
      </w:r>
      <w:r>
        <w:rPr>
          <w:rFonts w:cs="David" w:hint="cs"/>
          <w:sz w:val="24"/>
          <w:szCs w:val="24"/>
          <w:rtl/>
        </w:rPr>
        <w:t xml:space="preserve"> לכך: </w:t>
      </w:r>
    </w:p>
    <w:p w:rsidR="000474FB" w:rsidRDefault="000474FB" w:rsidP="000474FB">
      <w:pPr>
        <w:pStyle w:val="a6"/>
        <w:numPr>
          <w:ilvl w:val="0"/>
          <w:numId w:val="34"/>
        </w:numPr>
        <w:ind w:left="368"/>
        <w:jc w:val="both"/>
        <w:rPr>
          <w:rFonts w:cs="David"/>
          <w:sz w:val="24"/>
          <w:szCs w:val="24"/>
        </w:rPr>
      </w:pPr>
      <w:r w:rsidRPr="000474FB">
        <w:rPr>
          <w:rFonts w:cs="David" w:hint="cs"/>
          <w:sz w:val="24"/>
          <w:szCs w:val="24"/>
          <w:rtl/>
        </w:rPr>
        <w:t>השגה על החלטות בוחן במסגרת הליך בחינת בקשת פטנט</w:t>
      </w:r>
      <w:r w:rsidR="001575A6">
        <w:rPr>
          <w:rFonts w:cs="David" w:hint="cs"/>
          <w:sz w:val="24"/>
          <w:szCs w:val="24"/>
          <w:rtl/>
        </w:rPr>
        <w:t xml:space="preserve"> ("הליך השמעת טענות")</w:t>
      </w:r>
      <w:r w:rsidRPr="000474FB">
        <w:rPr>
          <w:rFonts w:cs="David" w:hint="cs"/>
          <w:sz w:val="24"/>
          <w:szCs w:val="24"/>
          <w:rtl/>
        </w:rPr>
        <w:t xml:space="preserve">: </w:t>
      </w:r>
    </w:p>
    <w:p w:rsidR="000474FB" w:rsidRDefault="00DC411A" w:rsidP="00DC411A">
      <w:pPr>
        <w:pStyle w:val="a6"/>
        <w:numPr>
          <w:ilvl w:val="1"/>
          <w:numId w:val="34"/>
        </w:numPr>
        <w:ind w:left="793"/>
        <w:jc w:val="both"/>
        <w:rPr>
          <w:rFonts w:cs="David"/>
          <w:sz w:val="24"/>
          <w:szCs w:val="24"/>
        </w:rPr>
      </w:pPr>
      <w:r>
        <w:rPr>
          <w:rFonts w:cs="David" w:hint="cs"/>
          <w:sz w:val="24"/>
          <w:szCs w:val="24"/>
          <w:rtl/>
        </w:rPr>
        <w:t xml:space="preserve">השגה על החלטת בוחן לגבי ליקויים </w:t>
      </w:r>
      <w:r w:rsidR="000474FB" w:rsidRPr="000474FB">
        <w:rPr>
          <w:rFonts w:cs="David" w:hint="cs"/>
          <w:sz w:val="24"/>
          <w:szCs w:val="24"/>
          <w:rtl/>
        </w:rPr>
        <w:t xml:space="preserve">לפי תקנות 43-41 </w:t>
      </w:r>
      <w:r>
        <w:rPr>
          <w:rFonts w:cs="David"/>
          <w:sz w:val="24"/>
          <w:szCs w:val="24"/>
          <w:rtl/>
        </w:rPr>
        <w:t>–</w:t>
      </w:r>
      <w:r>
        <w:rPr>
          <w:rFonts w:cs="David" w:hint="cs"/>
          <w:sz w:val="24"/>
          <w:szCs w:val="24"/>
          <w:rtl/>
        </w:rPr>
        <w:t xml:space="preserve"> תוך</w:t>
      </w:r>
      <w:r w:rsidR="000474FB" w:rsidRPr="000474FB">
        <w:rPr>
          <w:rFonts w:cs="David" w:hint="cs"/>
          <w:sz w:val="24"/>
          <w:szCs w:val="24"/>
          <w:rtl/>
        </w:rPr>
        <w:t xml:space="preserve"> 4 חודשים</w:t>
      </w:r>
      <w:r>
        <w:rPr>
          <w:rFonts w:cs="David" w:hint="cs"/>
          <w:sz w:val="24"/>
          <w:szCs w:val="24"/>
          <w:rtl/>
        </w:rPr>
        <w:t>.</w:t>
      </w:r>
    </w:p>
    <w:p w:rsidR="000474FB" w:rsidRDefault="00DC411A" w:rsidP="00DC411A">
      <w:pPr>
        <w:pStyle w:val="a6"/>
        <w:numPr>
          <w:ilvl w:val="1"/>
          <w:numId w:val="34"/>
        </w:numPr>
        <w:ind w:left="793"/>
        <w:jc w:val="both"/>
        <w:rPr>
          <w:rFonts w:cs="David"/>
          <w:sz w:val="24"/>
          <w:szCs w:val="24"/>
        </w:rPr>
      </w:pPr>
      <w:r>
        <w:rPr>
          <w:rFonts w:cs="David" w:hint="cs"/>
          <w:sz w:val="24"/>
          <w:szCs w:val="24"/>
          <w:rtl/>
        </w:rPr>
        <w:t xml:space="preserve">השגה על </w:t>
      </w:r>
      <w:r w:rsidR="000474FB" w:rsidRPr="000474FB">
        <w:rPr>
          <w:rFonts w:cs="David" w:hint="cs"/>
          <w:sz w:val="24"/>
          <w:szCs w:val="24"/>
          <w:rtl/>
        </w:rPr>
        <w:t xml:space="preserve">סירוב </w:t>
      </w:r>
      <w:r>
        <w:rPr>
          <w:rFonts w:cs="David" w:hint="cs"/>
          <w:sz w:val="24"/>
          <w:szCs w:val="24"/>
          <w:rtl/>
        </w:rPr>
        <w:t>בוחן ל</w:t>
      </w:r>
      <w:r w:rsidR="000474FB" w:rsidRPr="000474FB">
        <w:rPr>
          <w:rFonts w:cs="David" w:hint="cs"/>
          <w:sz w:val="24"/>
          <w:szCs w:val="24"/>
          <w:rtl/>
        </w:rPr>
        <w:t>בקשת פטנט</w:t>
      </w:r>
      <w:r w:rsidR="000474FB">
        <w:rPr>
          <w:rFonts w:cs="David" w:hint="cs"/>
          <w:sz w:val="24"/>
          <w:szCs w:val="24"/>
          <w:rtl/>
        </w:rPr>
        <w:t xml:space="preserve"> לפי </w:t>
      </w:r>
      <w:r>
        <w:rPr>
          <w:rFonts w:cs="David" w:hint="cs"/>
          <w:sz w:val="24"/>
          <w:szCs w:val="24"/>
          <w:rtl/>
        </w:rPr>
        <w:t>תקנות 46-45</w:t>
      </w:r>
      <w:r w:rsidR="000474FB">
        <w:rPr>
          <w:rFonts w:cs="David" w:hint="cs"/>
          <w:sz w:val="24"/>
          <w:szCs w:val="24"/>
          <w:rtl/>
        </w:rPr>
        <w:t xml:space="preserve"> </w:t>
      </w:r>
      <w:r>
        <w:rPr>
          <w:rFonts w:cs="David"/>
          <w:sz w:val="24"/>
          <w:szCs w:val="24"/>
          <w:rtl/>
        </w:rPr>
        <w:t>–</w:t>
      </w:r>
      <w:r>
        <w:rPr>
          <w:rFonts w:cs="David" w:hint="cs"/>
          <w:sz w:val="24"/>
          <w:szCs w:val="24"/>
          <w:rtl/>
        </w:rPr>
        <w:t xml:space="preserve"> תוך</w:t>
      </w:r>
      <w:r w:rsidR="000474FB">
        <w:rPr>
          <w:rFonts w:cs="David" w:hint="cs"/>
          <w:sz w:val="24"/>
          <w:szCs w:val="24"/>
          <w:rtl/>
        </w:rPr>
        <w:t xml:space="preserve"> חודש</w:t>
      </w:r>
      <w:r>
        <w:rPr>
          <w:rFonts w:cs="David" w:hint="cs"/>
          <w:sz w:val="24"/>
          <w:szCs w:val="24"/>
          <w:rtl/>
        </w:rPr>
        <w:t>.</w:t>
      </w:r>
    </w:p>
    <w:p w:rsidR="000474FB" w:rsidRDefault="000474FB" w:rsidP="00215A2F">
      <w:pPr>
        <w:pStyle w:val="a6"/>
        <w:numPr>
          <w:ilvl w:val="0"/>
          <w:numId w:val="34"/>
        </w:numPr>
        <w:ind w:left="368"/>
        <w:jc w:val="both"/>
        <w:rPr>
          <w:rFonts w:cs="David"/>
          <w:sz w:val="24"/>
          <w:szCs w:val="24"/>
        </w:rPr>
      </w:pPr>
      <w:r>
        <w:rPr>
          <w:rFonts w:cs="David" w:hint="cs"/>
          <w:sz w:val="24"/>
          <w:szCs w:val="24"/>
          <w:rtl/>
        </w:rPr>
        <w:t xml:space="preserve">השגה על החלטות בוחן </w:t>
      </w:r>
      <w:r w:rsidR="00870BAC">
        <w:rPr>
          <w:rFonts w:cs="David" w:hint="cs"/>
          <w:sz w:val="24"/>
          <w:szCs w:val="24"/>
          <w:rtl/>
        </w:rPr>
        <w:t>שלא במסגרת הליך בחינת בקשת פטנט וכן השגה על החלטות במהלך בחינת פטנט שאינן החלטה סופית על סירוב בשל ליקויים מהותיים</w:t>
      </w:r>
      <w:r w:rsidR="009A778C">
        <w:rPr>
          <w:rFonts w:cs="David" w:hint="cs"/>
          <w:sz w:val="24"/>
          <w:szCs w:val="24"/>
          <w:rtl/>
        </w:rPr>
        <w:t xml:space="preserve"> ("השגה על החלטת בוחן"):</w:t>
      </w:r>
    </w:p>
    <w:p w:rsidR="00EF0679" w:rsidRDefault="000474FB" w:rsidP="00EF0679">
      <w:pPr>
        <w:pStyle w:val="a6"/>
        <w:numPr>
          <w:ilvl w:val="1"/>
          <w:numId w:val="34"/>
        </w:numPr>
        <w:ind w:left="793"/>
        <w:jc w:val="both"/>
        <w:rPr>
          <w:rFonts w:cs="David"/>
          <w:sz w:val="24"/>
          <w:szCs w:val="24"/>
          <w:rtl/>
        </w:rPr>
      </w:pPr>
      <w:r>
        <w:rPr>
          <w:rFonts w:cs="David" w:hint="cs"/>
          <w:sz w:val="24"/>
          <w:szCs w:val="24"/>
          <w:rtl/>
        </w:rPr>
        <w:t xml:space="preserve">השגה כזו </w:t>
      </w:r>
      <w:r w:rsidR="00EF0679">
        <w:rPr>
          <w:rFonts w:cs="David" w:hint="cs"/>
          <w:sz w:val="24"/>
          <w:szCs w:val="24"/>
          <w:rtl/>
        </w:rPr>
        <w:t xml:space="preserve">(למשל </w:t>
      </w:r>
      <w:r w:rsidR="00EF0679">
        <w:rPr>
          <w:rFonts w:cs="David"/>
          <w:sz w:val="24"/>
          <w:szCs w:val="24"/>
          <w:rtl/>
        </w:rPr>
        <w:t>–</w:t>
      </w:r>
      <w:r w:rsidR="00EF0679">
        <w:rPr>
          <w:rFonts w:cs="David" w:hint="cs"/>
          <w:sz w:val="24"/>
          <w:szCs w:val="24"/>
          <w:rtl/>
        </w:rPr>
        <w:t xml:space="preserve"> בהחלטה בבקשה לתקן פירוט לאחר קבלת הפטנט לפי סעיפים 66-65 לחוק) תיעשה לפי הפרוצדורה הקבועה בתקנה 150. </w:t>
      </w:r>
    </w:p>
    <w:p w:rsidR="00BE762E" w:rsidRDefault="00BE762E" w:rsidP="00C62AB8">
      <w:pPr>
        <w:jc w:val="both"/>
        <w:rPr>
          <w:rFonts w:cs="David"/>
          <w:sz w:val="24"/>
          <w:szCs w:val="24"/>
          <w:rtl/>
        </w:rPr>
      </w:pPr>
      <w:r>
        <w:rPr>
          <w:rFonts w:cs="David" w:hint="cs"/>
          <w:sz w:val="24"/>
          <w:szCs w:val="24"/>
          <w:rtl/>
        </w:rPr>
        <w:t>נכון להיו</w:t>
      </w:r>
      <w:r w:rsidR="00C62AB8">
        <w:rPr>
          <w:rFonts w:cs="David" w:hint="cs"/>
          <w:sz w:val="24"/>
          <w:szCs w:val="24"/>
          <w:rtl/>
        </w:rPr>
        <w:t xml:space="preserve">ם, </w:t>
      </w:r>
      <w:r>
        <w:rPr>
          <w:rFonts w:cs="David" w:hint="cs"/>
          <w:sz w:val="24"/>
          <w:szCs w:val="24"/>
          <w:rtl/>
        </w:rPr>
        <w:t xml:space="preserve">תקנה </w:t>
      </w:r>
      <w:r w:rsidR="00C62AB8">
        <w:rPr>
          <w:rFonts w:cs="David" w:hint="cs"/>
          <w:sz w:val="24"/>
          <w:szCs w:val="24"/>
          <w:rtl/>
        </w:rPr>
        <w:t xml:space="preserve">150 </w:t>
      </w:r>
      <w:r>
        <w:rPr>
          <w:rFonts w:cs="David" w:hint="cs"/>
          <w:sz w:val="24"/>
          <w:szCs w:val="24"/>
          <w:rtl/>
        </w:rPr>
        <w:t xml:space="preserve">קובעת </w:t>
      </w:r>
      <w:r w:rsidRPr="00BE762E">
        <w:rPr>
          <w:rFonts w:cs="David" w:hint="cs"/>
          <w:b/>
          <w:bCs/>
          <w:sz w:val="24"/>
          <w:szCs w:val="24"/>
          <w:rtl/>
        </w:rPr>
        <w:t>הליך השגה דו-שלבי</w:t>
      </w:r>
      <w:r>
        <w:rPr>
          <w:rFonts w:cs="David" w:hint="cs"/>
          <w:sz w:val="24"/>
          <w:szCs w:val="24"/>
          <w:rtl/>
        </w:rPr>
        <w:t xml:space="preserve"> לפיו: </w:t>
      </w:r>
      <w:r w:rsidR="00C62AB8">
        <w:rPr>
          <w:rFonts w:cs="David" w:hint="cs"/>
          <w:sz w:val="24"/>
          <w:szCs w:val="24"/>
          <w:rtl/>
        </w:rPr>
        <w:t xml:space="preserve">תחילה מוגשת </w:t>
      </w:r>
      <w:r>
        <w:rPr>
          <w:rFonts w:cs="David" w:hint="cs"/>
          <w:sz w:val="24"/>
          <w:szCs w:val="24"/>
          <w:rtl/>
        </w:rPr>
        <w:t>השגה על פעולת בוחן</w:t>
      </w:r>
      <w:r w:rsidR="00035624">
        <w:rPr>
          <w:rFonts w:cs="David" w:hint="cs"/>
          <w:sz w:val="24"/>
          <w:szCs w:val="24"/>
          <w:rtl/>
        </w:rPr>
        <w:t xml:space="preserve"> </w:t>
      </w:r>
      <w:r>
        <w:rPr>
          <w:rFonts w:cs="David" w:hint="cs"/>
          <w:sz w:val="24"/>
          <w:szCs w:val="24"/>
          <w:rtl/>
        </w:rPr>
        <w:t>והרשם רשאי להורות על סיכום טענות בכתב (תקנה 150)</w:t>
      </w:r>
      <w:r w:rsidR="00035624">
        <w:rPr>
          <w:rFonts w:cs="David" w:hint="cs"/>
          <w:sz w:val="24"/>
          <w:szCs w:val="24"/>
          <w:rtl/>
        </w:rPr>
        <w:t>. נכון להיום אין הגבלת זמן על מועד הגשת ההשגה</w:t>
      </w:r>
      <w:r>
        <w:rPr>
          <w:rFonts w:cs="David" w:hint="cs"/>
          <w:sz w:val="24"/>
          <w:szCs w:val="24"/>
          <w:rtl/>
        </w:rPr>
        <w:t>; בשלב הבא הרשם משיב על ההשגה בכתב (תקנה 150); ולאחר מכן המשיג רשאי תוך חודש לבקש להשמיע טענות בפני הרשם</w:t>
      </w:r>
      <w:r w:rsidR="00F563AC">
        <w:rPr>
          <w:rFonts w:cs="David" w:hint="cs"/>
          <w:sz w:val="24"/>
          <w:szCs w:val="24"/>
          <w:rtl/>
        </w:rPr>
        <w:t>,</w:t>
      </w:r>
      <w:r w:rsidR="00035624">
        <w:rPr>
          <w:rFonts w:cs="David" w:hint="cs"/>
          <w:sz w:val="24"/>
          <w:szCs w:val="24"/>
          <w:rtl/>
        </w:rPr>
        <w:t xml:space="preserve"> ואם ביקש זאת הרשם חייב לקיים את הדיון</w:t>
      </w:r>
      <w:r>
        <w:rPr>
          <w:rFonts w:cs="David" w:hint="cs"/>
          <w:sz w:val="24"/>
          <w:szCs w:val="24"/>
          <w:rtl/>
        </w:rPr>
        <w:t xml:space="preserve"> (תקנה 152).</w:t>
      </w:r>
    </w:p>
    <w:p w:rsidR="00EF0679" w:rsidRPr="00EF0679" w:rsidRDefault="00BE762E" w:rsidP="001575A6">
      <w:pPr>
        <w:jc w:val="both"/>
        <w:rPr>
          <w:rFonts w:cs="David"/>
          <w:sz w:val="24"/>
          <w:szCs w:val="24"/>
          <w:rtl/>
        </w:rPr>
      </w:pPr>
      <w:r>
        <w:rPr>
          <w:rFonts w:cs="David" w:hint="cs"/>
          <w:sz w:val="24"/>
          <w:szCs w:val="24"/>
          <w:rtl/>
        </w:rPr>
        <w:t>בתיקון מוצע ל</w:t>
      </w:r>
      <w:r w:rsidR="00035624">
        <w:rPr>
          <w:rFonts w:cs="David" w:hint="cs"/>
          <w:sz w:val="24"/>
          <w:szCs w:val="24"/>
          <w:rtl/>
        </w:rPr>
        <w:t xml:space="preserve">קבוע </w:t>
      </w:r>
      <w:r w:rsidR="00035624" w:rsidRPr="00035624">
        <w:rPr>
          <w:rFonts w:cs="David" w:hint="cs"/>
          <w:b/>
          <w:bCs/>
          <w:sz w:val="24"/>
          <w:szCs w:val="24"/>
          <w:rtl/>
        </w:rPr>
        <w:t>הליך השגה חד-שלבי</w:t>
      </w:r>
      <w:r w:rsidR="00035624">
        <w:rPr>
          <w:rFonts w:cs="David" w:hint="cs"/>
          <w:sz w:val="24"/>
          <w:szCs w:val="24"/>
          <w:rtl/>
        </w:rPr>
        <w:t xml:space="preserve"> </w:t>
      </w:r>
      <w:r w:rsidR="00035624" w:rsidRPr="00035624">
        <w:rPr>
          <w:rFonts w:cs="David" w:hint="cs"/>
          <w:b/>
          <w:bCs/>
          <w:sz w:val="24"/>
          <w:szCs w:val="24"/>
          <w:rtl/>
        </w:rPr>
        <w:t>וקצוב בזמן</w:t>
      </w:r>
      <w:r>
        <w:rPr>
          <w:rFonts w:cs="David" w:hint="cs"/>
          <w:sz w:val="24"/>
          <w:szCs w:val="24"/>
          <w:rtl/>
        </w:rPr>
        <w:t xml:space="preserve">: </w:t>
      </w:r>
      <w:r w:rsidR="00035624">
        <w:rPr>
          <w:rFonts w:cs="David" w:hint="cs"/>
          <w:sz w:val="24"/>
          <w:szCs w:val="24"/>
          <w:rtl/>
        </w:rPr>
        <w:t xml:space="preserve">המשיג יגיש השגה תוך </w:t>
      </w:r>
      <w:r w:rsidR="001575A6">
        <w:rPr>
          <w:rFonts w:cs="David" w:hint="cs"/>
          <w:sz w:val="24"/>
          <w:szCs w:val="24"/>
          <w:rtl/>
        </w:rPr>
        <w:t>חודש</w:t>
      </w:r>
      <w:r w:rsidR="00035624">
        <w:rPr>
          <w:rFonts w:cs="David" w:hint="cs"/>
          <w:sz w:val="24"/>
          <w:szCs w:val="24"/>
          <w:rtl/>
        </w:rPr>
        <w:t>; הרשם יוכל לדרוש סיכום טענות ויקבע את ההשגה לדיון בפניו; לאחר הדיון ייתן הרשם את החלטתו.</w:t>
      </w:r>
    </w:p>
    <w:p w:rsidR="00BE762E" w:rsidRDefault="00035624" w:rsidP="00035624">
      <w:pPr>
        <w:jc w:val="both"/>
        <w:rPr>
          <w:rFonts w:cs="David"/>
          <w:sz w:val="24"/>
          <w:szCs w:val="24"/>
          <w:rtl/>
        </w:rPr>
      </w:pPr>
      <w:r w:rsidRPr="00F039D3">
        <w:rPr>
          <w:rFonts w:cs="David" w:hint="cs"/>
          <w:sz w:val="24"/>
          <w:szCs w:val="24"/>
          <w:highlight w:val="yellow"/>
          <w:u w:val="single"/>
          <w:rtl/>
        </w:rPr>
        <w:t>לדיון</w:t>
      </w:r>
      <w:r>
        <w:rPr>
          <w:rFonts w:cs="David" w:hint="cs"/>
          <w:sz w:val="24"/>
          <w:szCs w:val="24"/>
          <w:rtl/>
        </w:rPr>
        <w:t xml:space="preserve">: מוצע לשמוע את התייחסות רשות הפטנטים ומשרד המשפטים לתיקון המוצע </w:t>
      </w:r>
      <w:r>
        <w:rPr>
          <w:rFonts w:cs="David"/>
          <w:sz w:val="24"/>
          <w:szCs w:val="24"/>
          <w:rtl/>
        </w:rPr>
        <w:t>–</w:t>
      </w:r>
      <w:r>
        <w:rPr>
          <w:rFonts w:cs="David" w:hint="cs"/>
          <w:sz w:val="24"/>
          <w:szCs w:val="24"/>
          <w:rtl/>
        </w:rPr>
        <w:t xml:space="preserve"> מדוע מבקשים לקצוב את ההשגה בזמן</w:t>
      </w:r>
      <w:r w:rsidR="00001BD8">
        <w:rPr>
          <w:rFonts w:cs="David" w:hint="cs"/>
          <w:sz w:val="24"/>
          <w:szCs w:val="24"/>
          <w:rtl/>
        </w:rPr>
        <w:t xml:space="preserve"> ומדוע מבקשים לקצוב לחודש ולא לארבעה חודשים כמו בתקנה 42</w:t>
      </w:r>
      <w:r>
        <w:rPr>
          <w:rFonts w:cs="David" w:hint="cs"/>
          <w:sz w:val="24"/>
          <w:szCs w:val="24"/>
          <w:rtl/>
        </w:rPr>
        <w:t xml:space="preserve">; מדוע משנים את אופי ההשגה מהליך דו-שלבי לחד שלבי; האם הליך ההשגה החדש מחייב את הרשם לקיים דיון בפניו או שהוא יכול לקבל החלטה גם ללא הדיון? </w:t>
      </w:r>
    </w:p>
    <w:p w:rsidR="00A45F92" w:rsidRDefault="00A45F92" w:rsidP="007B0BEF">
      <w:pPr>
        <w:pStyle w:val="a6"/>
        <w:numPr>
          <w:ilvl w:val="0"/>
          <w:numId w:val="8"/>
        </w:numPr>
        <w:jc w:val="both"/>
        <w:rPr>
          <w:rFonts w:cs="David"/>
          <w:b/>
          <w:bCs/>
          <w:sz w:val="24"/>
          <w:szCs w:val="24"/>
        </w:rPr>
      </w:pPr>
      <w:r>
        <w:rPr>
          <w:rFonts w:cs="David" w:hint="cs"/>
          <w:b/>
          <w:bCs/>
          <w:sz w:val="24"/>
          <w:szCs w:val="24"/>
          <w:rtl/>
        </w:rPr>
        <w:t>הסמכת הרשם בסמכויות יו"ר הוועדה לענייני פיצויים ותמלוגים</w:t>
      </w:r>
      <w:r w:rsidR="00C62AB8">
        <w:rPr>
          <w:rFonts w:cs="David" w:hint="cs"/>
          <w:b/>
          <w:bCs/>
          <w:sz w:val="24"/>
          <w:szCs w:val="24"/>
          <w:rtl/>
        </w:rPr>
        <w:t xml:space="preserve"> (תקנות </w:t>
      </w:r>
      <w:r w:rsidR="00E21123">
        <w:rPr>
          <w:rFonts w:cs="David" w:hint="cs"/>
          <w:b/>
          <w:bCs/>
          <w:sz w:val="24"/>
          <w:szCs w:val="24"/>
          <w:rtl/>
        </w:rPr>
        <w:t xml:space="preserve">180א, </w:t>
      </w:r>
      <w:r w:rsidR="00C62AB8">
        <w:rPr>
          <w:rFonts w:cs="David" w:hint="cs"/>
          <w:b/>
          <w:bCs/>
          <w:sz w:val="24"/>
          <w:szCs w:val="24"/>
          <w:rtl/>
        </w:rPr>
        <w:t>181)</w:t>
      </w:r>
    </w:p>
    <w:p w:rsidR="00121FFD" w:rsidRDefault="0032747B" w:rsidP="00DC411A">
      <w:pPr>
        <w:jc w:val="both"/>
        <w:rPr>
          <w:rFonts w:cs="David"/>
          <w:sz w:val="24"/>
          <w:szCs w:val="24"/>
          <w:rtl/>
        </w:rPr>
      </w:pPr>
      <w:r>
        <w:rPr>
          <w:rFonts w:cs="David" w:hint="cs"/>
          <w:sz w:val="24"/>
          <w:szCs w:val="24"/>
          <w:rtl/>
        </w:rPr>
        <w:t>הוועדה לענייני פיצויים ותמלוגים</w:t>
      </w:r>
      <w:r w:rsidR="000467EE">
        <w:rPr>
          <w:rFonts w:cs="David" w:hint="cs"/>
          <w:sz w:val="24"/>
          <w:szCs w:val="24"/>
          <w:rtl/>
        </w:rPr>
        <w:t xml:space="preserve"> שהוקמה לפי סעיף 109 לחוק</w:t>
      </w:r>
      <w:r>
        <w:rPr>
          <w:rFonts w:cs="David" w:hint="cs"/>
          <w:sz w:val="24"/>
          <w:szCs w:val="24"/>
          <w:rtl/>
        </w:rPr>
        <w:t xml:space="preserve"> מכריעה בתביעות לפיצויים ולתמלוגים לפי סימן ו' לחוק (סמכויות המדינה לעניין הגנה על המדינה ולעניין אמצאות הנוגעות לאנרגיה גרעינית) </w:t>
      </w:r>
      <w:r w:rsidR="000467EE">
        <w:rPr>
          <w:rFonts w:cs="David" w:hint="cs"/>
          <w:sz w:val="24"/>
          <w:szCs w:val="24"/>
          <w:rtl/>
        </w:rPr>
        <w:t xml:space="preserve">ותביעות לקבלת תמורה בעד אמצאת שירות לפי פרק ח' לחוק. </w:t>
      </w:r>
      <w:r w:rsidR="00121FFD">
        <w:rPr>
          <w:rFonts w:cs="David" w:hint="cs"/>
          <w:sz w:val="24"/>
          <w:szCs w:val="24"/>
          <w:rtl/>
        </w:rPr>
        <w:t xml:space="preserve">חברי הוועדה הם: שופט בית המשפט העליון, הרשם וחבר נוסף מתוך </w:t>
      </w:r>
      <w:r w:rsidR="00DC411A">
        <w:rPr>
          <w:rFonts w:cs="David" w:hint="cs"/>
          <w:sz w:val="24"/>
          <w:szCs w:val="24"/>
          <w:rtl/>
        </w:rPr>
        <w:t>סגל</w:t>
      </w:r>
      <w:r w:rsidR="00121FFD">
        <w:rPr>
          <w:rFonts w:cs="David" w:hint="cs"/>
          <w:sz w:val="24"/>
          <w:szCs w:val="24"/>
          <w:rtl/>
        </w:rPr>
        <w:t xml:space="preserve"> המורים של מוסד להשכלה גבוהה. </w:t>
      </w:r>
    </w:p>
    <w:p w:rsidR="00121FFD" w:rsidRDefault="00121FFD" w:rsidP="002A2437">
      <w:pPr>
        <w:jc w:val="both"/>
        <w:rPr>
          <w:rFonts w:cs="David"/>
          <w:sz w:val="24"/>
          <w:szCs w:val="24"/>
          <w:rtl/>
        </w:rPr>
      </w:pPr>
      <w:r>
        <w:rPr>
          <w:rFonts w:cs="David" w:hint="cs"/>
          <w:sz w:val="24"/>
          <w:szCs w:val="24"/>
          <w:rtl/>
        </w:rPr>
        <w:t>בתיקון מוצע לקבוע כי סמכויות יו"ר הוועדה בענייני הארכת מועדים ומתן אישור לצדדים להגיש מסמכים (לרבות סמכויות יו"ר הוועדה בהחלטות בבקשות ביניים)</w:t>
      </w:r>
      <w:r w:rsidR="003C25B2">
        <w:rPr>
          <w:rFonts w:cs="David" w:hint="cs"/>
          <w:sz w:val="24"/>
          <w:szCs w:val="24"/>
          <w:rtl/>
        </w:rPr>
        <w:t xml:space="preserve"> יוקנו לרשם</w:t>
      </w:r>
      <w:r w:rsidR="002A2437">
        <w:rPr>
          <w:rFonts w:cs="David" w:hint="cs"/>
          <w:sz w:val="24"/>
          <w:szCs w:val="24"/>
          <w:rtl/>
        </w:rPr>
        <w:t xml:space="preserve"> בהיעדרו של יו"ר הוועדה</w:t>
      </w:r>
      <w:r w:rsidR="003C25B2">
        <w:rPr>
          <w:rFonts w:cs="David" w:hint="cs"/>
          <w:sz w:val="24"/>
          <w:szCs w:val="24"/>
          <w:rtl/>
        </w:rPr>
        <w:t>.</w:t>
      </w:r>
    </w:p>
    <w:p w:rsidR="00BC7EF5" w:rsidRDefault="003C25B2" w:rsidP="00B357F5">
      <w:pPr>
        <w:jc w:val="both"/>
        <w:rPr>
          <w:rFonts w:cs="David"/>
          <w:sz w:val="24"/>
          <w:szCs w:val="24"/>
          <w:rtl/>
        </w:rPr>
      </w:pPr>
      <w:r w:rsidRPr="00BC7EF5">
        <w:rPr>
          <w:rFonts w:cs="David" w:hint="cs"/>
          <w:sz w:val="24"/>
          <w:szCs w:val="24"/>
          <w:highlight w:val="yellow"/>
          <w:u w:val="single"/>
          <w:rtl/>
        </w:rPr>
        <w:t>לדיון</w:t>
      </w:r>
      <w:r>
        <w:rPr>
          <w:rFonts w:cs="David" w:hint="cs"/>
          <w:sz w:val="24"/>
          <w:szCs w:val="24"/>
          <w:rtl/>
        </w:rPr>
        <w:t>: בבדיקה מול מש</w:t>
      </w:r>
      <w:r w:rsidR="00604739">
        <w:rPr>
          <w:rFonts w:cs="David" w:hint="cs"/>
          <w:sz w:val="24"/>
          <w:szCs w:val="24"/>
          <w:rtl/>
        </w:rPr>
        <w:t xml:space="preserve">רד המשפטים עלה, כי הקניית סמכות </w:t>
      </w:r>
      <w:r w:rsidR="00B357F5">
        <w:rPr>
          <w:rFonts w:cs="David" w:hint="cs"/>
          <w:sz w:val="24"/>
          <w:szCs w:val="24"/>
          <w:rtl/>
        </w:rPr>
        <w:t>באופן זה</w:t>
      </w:r>
      <w:r>
        <w:rPr>
          <w:rFonts w:cs="David" w:hint="cs"/>
          <w:sz w:val="24"/>
          <w:szCs w:val="24"/>
          <w:rtl/>
        </w:rPr>
        <w:t xml:space="preserve"> מעולם לא נעשתה בחקיקה. מוצע לשמוע את התייחסות הרשות ומשרד המשפטים מדוע הדבר דרוש דווקא כאן, ומה מייחד </w:t>
      </w:r>
      <w:r w:rsidR="00DC411A">
        <w:rPr>
          <w:rFonts w:cs="David" w:hint="cs"/>
          <w:sz w:val="24"/>
          <w:szCs w:val="24"/>
          <w:rtl/>
        </w:rPr>
        <w:t>ועדה זו</w:t>
      </w:r>
      <w:r>
        <w:rPr>
          <w:rFonts w:cs="David" w:hint="cs"/>
          <w:sz w:val="24"/>
          <w:szCs w:val="24"/>
          <w:rtl/>
        </w:rPr>
        <w:t xml:space="preserve"> מוועדות אחרות</w:t>
      </w:r>
      <w:r w:rsidR="00E65B30">
        <w:rPr>
          <w:rFonts w:cs="David" w:hint="cs"/>
          <w:sz w:val="24"/>
          <w:szCs w:val="24"/>
          <w:rtl/>
        </w:rPr>
        <w:t>, שגם בהן לעיתים יש יותר מ</w:t>
      </w:r>
      <w:r w:rsidR="0032747B">
        <w:rPr>
          <w:rFonts w:cs="David" w:hint="cs"/>
          <w:sz w:val="24"/>
          <w:szCs w:val="24"/>
          <w:rtl/>
        </w:rPr>
        <w:t>אדם</w:t>
      </w:r>
      <w:r w:rsidR="00E65B30">
        <w:rPr>
          <w:rFonts w:cs="David" w:hint="cs"/>
          <w:sz w:val="24"/>
          <w:szCs w:val="24"/>
          <w:rtl/>
        </w:rPr>
        <w:t xml:space="preserve"> אחד </w:t>
      </w:r>
      <w:r w:rsidR="0032747B">
        <w:rPr>
          <w:rFonts w:cs="David" w:hint="cs"/>
          <w:sz w:val="24"/>
          <w:szCs w:val="24"/>
          <w:rtl/>
        </w:rPr>
        <w:t>שהוא בעל סמכויות שיפוטיות.</w:t>
      </w:r>
      <w:r w:rsidR="00BC7EF5">
        <w:rPr>
          <w:rFonts w:cs="David" w:hint="cs"/>
          <w:sz w:val="24"/>
          <w:szCs w:val="24"/>
          <w:rtl/>
        </w:rPr>
        <w:t xml:space="preserve"> </w:t>
      </w:r>
    </w:p>
    <w:p w:rsidR="00121FFD" w:rsidRDefault="00BC7EF5" w:rsidP="00BC7EF5">
      <w:pPr>
        <w:jc w:val="both"/>
        <w:rPr>
          <w:rFonts w:cs="David"/>
          <w:sz w:val="24"/>
          <w:szCs w:val="24"/>
          <w:rtl/>
        </w:rPr>
      </w:pPr>
      <w:r>
        <w:rPr>
          <w:rFonts w:cs="David" w:hint="cs"/>
          <w:sz w:val="24"/>
          <w:szCs w:val="24"/>
          <w:rtl/>
        </w:rPr>
        <w:t>הקניית הסמכות באופן כזה לחבר אחר בוועדה (הגם שייתכן שהיא אפשרית מאחר שגם הוא משמש כגורם מעין שיפוטי ומקבל החלטות כאלו בהליכים אחרים) יכולה ליצור התנגשות לא בריאה בין שני בעלי סמכות ועל כן מוצע לא לקבל את התיקון.</w:t>
      </w:r>
    </w:p>
    <w:p w:rsidR="00121FFD" w:rsidRPr="005B4538" w:rsidRDefault="005B4538" w:rsidP="005B4538">
      <w:pPr>
        <w:pStyle w:val="a6"/>
        <w:numPr>
          <w:ilvl w:val="0"/>
          <w:numId w:val="8"/>
        </w:numPr>
        <w:jc w:val="both"/>
        <w:rPr>
          <w:rFonts w:cs="David"/>
          <w:b/>
          <w:bCs/>
          <w:sz w:val="24"/>
          <w:szCs w:val="24"/>
        </w:rPr>
      </w:pPr>
      <w:r w:rsidRPr="005B4538">
        <w:rPr>
          <w:rFonts w:cs="David" w:hint="cs"/>
          <w:b/>
          <w:bCs/>
          <w:sz w:val="24"/>
          <w:szCs w:val="24"/>
          <w:rtl/>
        </w:rPr>
        <w:t>קיצור המועד לסיכום טענות בכתב</w:t>
      </w:r>
      <w:r w:rsidR="00C62AB8">
        <w:rPr>
          <w:rFonts w:cs="David" w:hint="cs"/>
          <w:b/>
          <w:bCs/>
          <w:sz w:val="24"/>
          <w:szCs w:val="24"/>
          <w:rtl/>
        </w:rPr>
        <w:t xml:space="preserve"> (תקנה 189)</w:t>
      </w:r>
    </w:p>
    <w:p w:rsidR="005B4538" w:rsidRDefault="005B4538" w:rsidP="005B4538">
      <w:pPr>
        <w:jc w:val="both"/>
        <w:rPr>
          <w:rFonts w:cs="David"/>
          <w:sz w:val="24"/>
          <w:szCs w:val="24"/>
          <w:rtl/>
        </w:rPr>
      </w:pPr>
      <w:r>
        <w:rPr>
          <w:rFonts w:cs="David" w:hint="cs"/>
          <w:sz w:val="24"/>
          <w:szCs w:val="24"/>
          <w:rtl/>
        </w:rPr>
        <w:t>תקנה 189 קובעת הוראה כללית לפיה הרשם רשאי לדרוש מכל מבקש או בעל דין שלפניו לסכם בכתב את הטענות שטען בפני הרשם, תוך חודש מיום הדרישה.</w:t>
      </w:r>
    </w:p>
    <w:p w:rsidR="001A214D" w:rsidRDefault="005B4538" w:rsidP="001A214D">
      <w:pPr>
        <w:jc w:val="both"/>
        <w:rPr>
          <w:rFonts w:cs="David"/>
          <w:sz w:val="24"/>
          <w:szCs w:val="24"/>
          <w:rtl/>
        </w:rPr>
      </w:pPr>
      <w:r>
        <w:rPr>
          <w:rFonts w:cs="David" w:hint="cs"/>
          <w:sz w:val="24"/>
          <w:szCs w:val="24"/>
          <w:rtl/>
        </w:rPr>
        <w:t>כעת,</w:t>
      </w:r>
      <w:r w:rsidR="001A214D">
        <w:rPr>
          <w:rFonts w:cs="David" w:hint="cs"/>
          <w:sz w:val="24"/>
          <w:szCs w:val="24"/>
          <w:rtl/>
        </w:rPr>
        <w:t xml:space="preserve"> מבקשת הרשות לאפשר</w:t>
      </w:r>
      <w:r>
        <w:rPr>
          <w:rFonts w:cs="David" w:hint="cs"/>
          <w:sz w:val="24"/>
          <w:szCs w:val="24"/>
          <w:rtl/>
        </w:rPr>
        <w:t xml:space="preserve"> לרשם</w:t>
      </w:r>
      <w:r w:rsidR="001A214D">
        <w:rPr>
          <w:rFonts w:cs="David" w:hint="cs"/>
          <w:sz w:val="24"/>
          <w:szCs w:val="24"/>
          <w:rtl/>
        </w:rPr>
        <w:t xml:space="preserve"> להורות על המועד שבו יוגשו הסיכומים.</w:t>
      </w:r>
    </w:p>
    <w:p w:rsidR="00F34903" w:rsidRDefault="001A214D" w:rsidP="00C2246C">
      <w:pPr>
        <w:jc w:val="both"/>
        <w:rPr>
          <w:rFonts w:cs="David"/>
          <w:sz w:val="24"/>
          <w:szCs w:val="24"/>
          <w:rtl/>
        </w:rPr>
      </w:pPr>
      <w:r w:rsidRPr="00F039D3">
        <w:rPr>
          <w:rFonts w:cs="David" w:hint="cs"/>
          <w:sz w:val="24"/>
          <w:szCs w:val="24"/>
          <w:highlight w:val="yellow"/>
          <w:u w:val="single"/>
          <w:rtl/>
        </w:rPr>
        <w:t>לדיון</w:t>
      </w:r>
      <w:r>
        <w:rPr>
          <w:rFonts w:cs="David" w:hint="cs"/>
          <w:sz w:val="24"/>
          <w:szCs w:val="24"/>
          <w:rtl/>
        </w:rPr>
        <w:t>: מוצע לדון בצורך בתיקון ובהקניית שיקול דעת בלתי מסויג לרשם. משיחה עם הרשות עלה כי בכוונתם גם לקבוע מועדים קצרים יותר מחודש להגשת הסיכומים</w:t>
      </w:r>
      <w:r w:rsidR="007A2115">
        <w:rPr>
          <w:rFonts w:cs="David" w:hint="cs"/>
          <w:sz w:val="24"/>
          <w:szCs w:val="24"/>
          <w:rtl/>
        </w:rPr>
        <w:t xml:space="preserve"> </w:t>
      </w:r>
      <w:r w:rsidR="007A2115">
        <w:rPr>
          <w:rFonts w:cs="David"/>
          <w:sz w:val="24"/>
          <w:szCs w:val="24"/>
          <w:rtl/>
        </w:rPr>
        <w:t>–</w:t>
      </w:r>
      <w:r w:rsidR="007A2115">
        <w:rPr>
          <w:rFonts w:cs="David" w:hint="cs"/>
          <w:sz w:val="24"/>
          <w:szCs w:val="24"/>
          <w:rtl/>
        </w:rPr>
        <w:t xml:space="preserve"> דבר שעלול להקשות על ציבור המתדיינים</w:t>
      </w:r>
      <w:r>
        <w:rPr>
          <w:rFonts w:cs="David" w:hint="cs"/>
          <w:sz w:val="24"/>
          <w:szCs w:val="24"/>
          <w:rtl/>
        </w:rPr>
        <w:t xml:space="preserve">. יש לשים לב כי התיקון המוצע עלול </w:t>
      </w:r>
      <w:r w:rsidR="007A2115">
        <w:rPr>
          <w:rFonts w:cs="David" w:hint="cs"/>
          <w:sz w:val="24"/>
          <w:szCs w:val="24"/>
          <w:rtl/>
        </w:rPr>
        <w:t xml:space="preserve">גם </w:t>
      </w:r>
      <w:r>
        <w:rPr>
          <w:rFonts w:cs="David" w:hint="cs"/>
          <w:sz w:val="24"/>
          <w:szCs w:val="24"/>
          <w:rtl/>
        </w:rPr>
        <w:t xml:space="preserve">ליצור חוסר אחידות בתוך התקנות עצמן </w:t>
      </w:r>
      <w:r>
        <w:rPr>
          <w:rFonts w:cs="David"/>
          <w:sz w:val="24"/>
          <w:szCs w:val="24"/>
          <w:rtl/>
        </w:rPr>
        <w:t>–</w:t>
      </w:r>
      <w:r>
        <w:rPr>
          <w:rFonts w:cs="David" w:hint="cs"/>
          <w:sz w:val="24"/>
          <w:szCs w:val="24"/>
          <w:rtl/>
        </w:rPr>
        <w:t xml:space="preserve"> תקנה 47 עוסקת גם היא בסיכום טענות בכתב לגבי מי שביקש להשמיע טענות בפני הרשם </w:t>
      </w:r>
      <w:r w:rsidR="00DC411A">
        <w:rPr>
          <w:rFonts w:cs="David" w:hint="cs"/>
          <w:sz w:val="24"/>
          <w:szCs w:val="24"/>
          <w:rtl/>
        </w:rPr>
        <w:t>במהלך בחינת פטנט</w:t>
      </w:r>
      <w:r>
        <w:rPr>
          <w:rFonts w:cs="David" w:hint="cs"/>
          <w:sz w:val="24"/>
          <w:szCs w:val="24"/>
          <w:rtl/>
        </w:rPr>
        <w:t>. גם שם, כמו בתקנה 150 היום, יש להגיש סיכום טענות בכתב תוך חודש</w:t>
      </w:r>
      <w:r w:rsidR="001C0F7E">
        <w:rPr>
          <w:rFonts w:cs="David" w:hint="cs"/>
          <w:sz w:val="24"/>
          <w:szCs w:val="24"/>
          <w:rtl/>
        </w:rPr>
        <w:t xml:space="preserve"> </w:t>
      </w:r>
      <w:r w:rsidR="001C0F7E">
        <w:rPr>
          <w:rFonts w:cs="David" w:hint="cs"/>
          <w:sz w:val="24"/>
          <w:szCs w:val="24"/>
          <w:rtl/>
        </w:rPr>
        <w:lastRenderedPageBreak/>
        <w:t>(סיכום הטענות לפי תקנה 47 הוא לפני הדיון בעוד שסיכום טענות לפי תקנה 189 נעשה לאחר הדיון)</w:t>
      </w:r>
      <w:r>
        <w:rPr>
          <w:rFonts w:cs="David" w:hint="cs"/>
          <w:sz w:val="24"/>
          <w:szCs w:val="24"/>
          <w:rtl/>
        </w:rPr>
        <w:t>. ככל שרוצים להקנות לרשם שיקול דעת רחב מזה הנתון לו כיום, מוצע לסייגו ולקבוע כי הרשם יוכל לקבוע את המועד לסיכ</w:t>
      </w:r>
      <w:r w:rsidR="001D4CEC">
        <w:rPr>
          <w:rFonts w:cs="David" w:hint="cs"/>
          <w:sz w:val="24"/>
          <w:szCs w:val="24"/>
          <w:rtl/>
        </w:rPr>
        <w:t xml:space="preserve">ום טענות, </w:t>
      </w:r>
      <w:r w:rsidR="001D4CEC" w:rsidRPr="00945940">
        <w:rPr>
          <w:rFonts w:cs="David" w:hint="cs"/>
          <w:b/>
          <w:bCs/>
          <w:sz w:val="24"/>
          <w:szCs w:val="24"/>
          <w:rtl/>
        </w:rPr>
        <w:t>ובלבד שלא יפחת מחודש</w:t>
      </w:r>
      <w:r w:rsidR="001D4CEC">
        <w:rPr>
          <w:rFonts w:cs="David" w:hint="cs"/>
          <w:sz w:val="24"/>
          <w:szCs w:val="24"/>
          <w:rtl/>
        </w:rPr>
        <w:t>.</w:t>
      </w:r>
    </w:p>
    <w:p w:rsidR="00C62AB8" w:rsidRPr="00C62AB8" w:rsidRDefault="00C62AB8" w:rsidP="00E21123">
      <w:pPr>
        <w:pStyle w:val="a6"/>
        <w:numPr>
          <w:ilvl w:val="0"/>
          <w:numId w:val="8"/>
        </w:numPr>
        <w:jc w:val="both"/>
        <w:rPr>
          <w:rFonts w:cs="David"/>
          <w:b/>
          <w:bCs/>
          <w:sz w:val="24"/>
          <w:szCs w:val="24"/>
        </w:rPr>
      </w:pPr>
      <w:r>
        <w:rPr>
          <w:rFonts w:cs="David" w:hint="cs"/>
          <w:b/>
          <w:bCs/>
          <w:sz w:val="24"/>
          <w:szCs w:val="24"/>
          <w:rtl/>
        </w:rPr>
        <w:t>הגשת</w:t>
      </w:r>
      <w:r w:rsidRPr="00DF0177">
        <w:rPr>
          <w:rFonts w:cs="David" w:hint="cs"/>
          <w:b/>
          <w:bCs/>
          <w:sz w:val="24"/>
          <w:szCs w:val="24"/>
          <w:rtl/>
        </w:rPr>
        <w:t xml:space="preserve"> תצהירים ומסמכים רשמיים (תקנה 190א)</w:t>
      </w:r>
      <w:r w:rsidRPr="00DF0177">
        <w:rPr>
          <w:rFonts w:cs="David" w:hint="cs"/>
          <w:sz w:val="24"/>
          <w:szCs w:val="24"/>
          <w:rtl/>
        </w:rPr>
        <w:t>:</w:t>
      </w:r>
      <w:r>
        <w:rPr>
          <w:rFonts w:cs="David" w:hint="cs"/>
          <w:sz w:val="24"/>
          <w:szCs w:val="24"/>
          <w:rtl/>
        </w:rPr>
        <w:t xml:space="preserve"> </w:t>
      </w:r>
    </w:p>
    <w:p w:rsidR="00C62AB8" w:rsidRDefault="00C62AB8" w:rsidP="00926D3D">
      <w:pPr>
        <w:jc w:val="both"/>
        <w:rPr>
          <w:rFonts w:cs="David"/>
          <w:sz w:val="24"/>
          <w:szCs w:val="24"/>
          <w:rtl/>
        </w:rPr>
      </w:pPr>
      <w:r w:rsidRPr="00C62AB8">
        <w:rPr>
          <w:rFonts w:cs="David" w:hint="cs"/>
          <w:sz w:val="24"/>
          <w:szCs w:val="24"/>
          <w:rtl/>
        </w:rPr>
        <w:t xml:space="preserve">ההגשה האלקטרונית תחול, כאמור, על כל הבקשות, ההודעות והמסמכים המוגשים לרשות. מכאן נובע כי ניתן להגיש במערכת האלקטרונית גם תצהירים ומסמכים רשמיים של רשויות, ולפיכך </w:t>
      </w:r>
      <w:r w:rsidRPr="00C62AB8">
        <w:rPr>
          <w:rFonts w:cs="David"/>
          <w:sz w:val="24"/>
          <w:szCs w:val="24"/>
          <w:rtl/>
        </w:rPr>
        <w:t>–</w:t>
      </w:r>
      <w:r w:rsidRPr="00C62AB8">
        <w:rPr>
          <w:rFonts w:cs="David" w:hint="cs"/>
          <w:sz w:val="24"/>
          <w:szCs w:val="24"/>
          <w:rtl/>
        </w:rPr>
        <w:t xml:space="preserve"> אין חובה להגישם במקור. </w:t>
      </w:r>
    </w:p>
    <w:p w:rsidR="00C62AB8" w:rsidRDefault="00C62AB8" w:rsidP="00870BAC">
      <w:pPr>
        <w:jc w:val="both"/>
        <w:rPr>
          <w:rFonts w:cs="David"/>
          <w:sz w:val="24"/>
          <w:szCs w:val="24"/>
          <w:rtl/>
        </w:rPr>
      </w:pPr>
      <w:r w:rsidRPr="00C62AB8">
        <w:rPr>
          <w:rFonts w:cs="David" w:hint="cs"/>
          <w:sz w:val="24"/>
          <w:szCs w:val="24"/>
          <w:rtl/>
        </w:rPr>
        <w:t>הנושא של ביטול דרישת הגשת מסמכים במקור</w:t>
      </w:r>
      <w:r w:rsidR="008B6109">
        <w:rPr>
          <w:rFonts w:cs="David" w:hint="cs"/>
          <w:sz w:val="24"/>
          <w:szCs w:val="24"/>
          <w:rtl/>
        </w:rPr>
        <w:t xml:space="preserve"> </w:t>
      </w:r>
      <w:r w:rsidRPr="00C62AB8">
        <w:rPr>
          <w:rFonts w:cs="David" w:hint="cs"/>
          <w:sz w:val="24"/>
          <w:szCs w:val="24"/>
          <w:rtl/>
        </w:rPr>
        <w:t xml:space="preserve">עלה בהצעת חוק לתיקון פקודת הראיות (מס' 15) (מקור והעתק כראיה), </w:t>
      </w:r>
      <w:proofErr w:type="spellStart"/>
      <w:r w:rsidRPr="00C62AB8">
        <w:rPr>
          <w:rFonts w:cs="David" w:hint="cs"/>
          <w:sz w:val="24"/>
          <w:szCs w:val="24"/>
          <w:rtl/>
        </w:rPr>
        <w:t>התשס"ו</w:t>
      </w:r>
      <w:proofErr w:type="spellEnd"/>
      <w:r w:rsidR="00870BAC">
        <w:rPr>
          <w:rFonts w:cs="David" w:hint="eastAsia"/>
          <w:sz w:val="24"/>
          <w:szCs w:val="24"/>
          <w:rtl/>
        </w:rPr>
        <w:t>–</w:t>
      </w:r>
      <w:r w:rsidRPr="00C62AB8">
        <w:rPr>
          <w:rFonts w:cs="David" w:hint="cs"/>
          <w:sz w:val="24"/>
          <w:szCs w:val="24"/>
          <w:rtl/>
        </w:rPr>
        <w:t>2006,</w:t>
      </w:r>
      <w:r>
        <w:rPr>
          <w:rStyle w:val="a5"/>
          <w:rFonts w:cs="David"/>
          <w:sz w:val="24"/>
          <w:szCs w:val="24"/>
          <w:rtl/>
        </w:rPr>
        <w:footnoteReference w:id="15"/>
      </w:r>
      <w:r w:rsidRPr="00C62AB8">
        <w:rPr>
          <w:rFonts w:cs="David" w:hint="cs"/>
          <w:sz w:val="24"/>
          <w:szCs w:val="24"/>
          <w:rtl/>
        </w:rPr>
        <w:t xml:space="preserve"> שהונחה על שולחן הכנסת אך לא התקבלה כחקיקה. בהצעת החוק הוצע להקל בדרישה הראייתית הקיימת </w:t>
      </w:r>
      <w:r w:rsidR="001C0F7E">
        <w:rPr>
          <w:rFonts w:cs="David" w:hint="cs"/>
          <w:sz w:val="24"/>
          <w:szCs w:val="24"/>
          <w:rtl/>
        </w:rPr>
        <w:t>בפקודת הראיות</w:t>
      </w:r>
      <w:r w:rsidR="008B6109">
        <w:rPr>
          <w:rFonts w:cs="David" w:hint="cs"/>
          <w:sz w:val="24"/>
          <w:szCs w:val="24"/>
          <w:rtl/>
        </w:rPr>
        <w:t xml:space="preserve"> </w:t>
      </w:r>
      <w:r w:rsidRPr="00C62AB8">
        <w:rPr>
          <w:rFonts w:cs="David" w:hint="cs"/>
          <w:sz w:val="24"/>
          <w:szCs w:val="24"/>
          <w:rtl/>
        </w:rPr>
        <w:t xml:space="preserve">ולקבוע כי דינו של העתק שעמד בתנאים מסוימים כדין מקור לעניין הוכחת תוכנו כראייה. </w:t>
      </w:r>
    </w:p>
    <w:p w:rsidR="00C62AB8" w:rsidRDefault="00C62AB8" w:rsidP="00870BAC">
      <w:pPr>
        <w:jc w:val="both"/>
        <w:rPr>
          <w:rFonts w:cs="David"/>
          <w:sz w:val="24"/>
          <w:szCs w:val="24"/>
          <w:rtl/>
        </w:rPr>
      </w:pPr>
      <w:r w:rsidRPr="00C62AB8">
        <w:rPr>
          <w:rFonts w:cs="David" w:hint="cs"/>
          <w:sz w:val="24"/>
          <w:szCs w:val="24"/>
          <w:rtl/>
        </w:rPr>
        <w:t>ממשרד המשפטים נמסר כי הנושא נמצא כעת בדיונים אצלם</w:t>
      </w:r>
      <w:r w:rsidR="0078414D">
        <w:rPr>
          <w:rFonts w:cs="David" w:hint="cs"/>
          <w:sz w:val="24"/>
          <w:szCs w:val="24"/>
          <w:rtl/>
        </w:rPr>
        <w:t xml:space="preserve"> </w:t>
      </w:r>
      <w:r w:rsidR="0078414D" w:rsidRPr="0078414D">
        <w:rPr>
          <w:rFonts w:cs="David" w:hint="cs"/>
          <w:sz w:val="24"/>
          <w:szCs w:val="24"/>
          <w:rtl/>
        </w:rPr>
        <w:t>במסגרת</w:t>
      </w:r>
      <w:r w:rsidR="0078414D" w:rsidRPr="0078414D">
        <w:rPr>
          <w:rFonts w:cs="David"/>
          <w:sz w:val="24"/>
          <w:szCs w:val="24"/>
          <w:rtl/>
        </w:rPr>
        <w:t xml:space="preserve"> </w:t>
      </w:r>
      <w:r w:rsidR="0078414D" w:rsidRPr="0078414D">
        <w:rPr>
          <w:rFonts w:cs="David" w:hint="cs"/>
          <w:sz w:val="24"/>
          <w:szCs w:val="24"/>
          <w:rtl/>
        </w:rPr>
        <w:t>עבודת</w:t>
      </w:r>
      <w:r w:rsidR="0078414D" w:rsidRPr="0078414D">
        <w:rPr>
          <w:rFonts w:cs="David"/>
          <w:sz w:val="24"/>
          <w:szCs w:val="24"/>
          <w:rtl/>
        </w:rPr>
        <w:t xml:space="preserve"> </w:t>
      </w:r>
      <w:r w:rsidR="0078414D" w:rsidRPr="0078414D">
        <w:rPr>
          <w:rFonts w:cs="David" w:hint="cs"/>
          <w:sz w:val="24"/>
          <w:szCs w:val="24"/>
          <w:rtl/>
        </w:rPr>
        <w:t>מטה</w:t>
      </w:r>
      <w:r w:rsidR="0078414D" w:rsidRPr="0078414D">
        <w:rPr>
          <w:rFonts w:cs="David"/>
          <w:sz w:val="24"/>
          <w:szCs w:val="24"/>
          <w:rtl/>
        </w:rPr>
        <w:t xml:space="preserve"> </w:t>
      </w:r>
      <w:r w:rsidR="0078414D" w:rsidRPr="0078414D">
        <w:rPr>
          <w:rFonts w:cs="David" w:hint="cs"/>
          <w:sz w:val="24"/>
          <w:szCs w:val="24"/>
          <w:rtl/>
        </w:rPr>
        <w:t>המתבצעת</w:t>
      </w:r>
      <w:r w:rsidR="0078414D" w:rsidRPr="0078414D">
        <w:rPr>
          <w:rFonts w:cs="David"/>
          <w:sz w:val="24"/>
          <w:szCs w:val="24"/>
          <w:rtl/>
        </w:rPr>
        <w:t xml:space="preserve"> </w:t>
      </w:r>
      <w:r w:rsidR="0078414D" w:rsidRPr="0078414D">
        <w:rPr>
          <w:rFonts w:cs="David" w:hint="cs"/>
          <w:sz w:val="24"/>
          <w:szCs w:val="24"/>
          <w:rtl/>
        </w:rPr>
        <w:t>להסדרת</w:t>
      </w:r>
      <w:r w:rsidR="0078414D" w:rsidRPr="0078414D">
        <w:rPr>
          <w:rFonts w:cs="David"/>
          <w:sz w:val="24"/>
          <w:szCs w:val="24"/>
          <w:rtl/>
        </w:rPr>
        <w:t xml:space="preserve"> </w:t>
      </w:r>
      <w:r w:rsidR="0078414D" w:rsidRPr="0078414D">
        <w:rPr>
          <w:rFonts w:cs="David" w:hint="cs"/>
          <w:sz w:val="24"/>
          <w:szCs w:val="24"/>
          <w:rtl/>
        </w:rPr>
        <w:t>התחום</w:t>
      </w:r>
      <w:r w:rsidR="00926D3D">
        <w:rPr>
          <w:rFonts w:cs="David" w:hint="cs"/>
          <w:sz w:val="24"/>
          <w:szCs w:val="24"/>
          <w:rtl/>
        </w:rPr>
        <w:t xml:space="preserve">. </w:t>
      </w:r>
    </w:p>
    <w:p w:rsidR="003F743D" w:rsidRDefault="00C62AB8" w:rsidP="002C0510">
      <w:pPr>
        <w:jc w:val="both"/>
        <w:rPr>
          <w:rFonts w:cs="David"/>
          <w:sz w:val="24"/>
          <w:szCs w:val="24"/>
          <w:rtl/>
        </w:rPr>
      </w:pPr>
      <w:r w:rsidRPr="00C62AB8">
        <w:rPr>
          <w:rFonts w:cs="David" w:hint="cs"/>
          <w:sz w:val="24"/>
          <w:szCs w:val="24"/>
          <w:rtl/>
        </w:rPr>
        <w:t>כדי להתמודד עם הקושי שיכול לעלות בשל היעדר מקור,</w:t>
      </w:r>
      <w:r w:rsidR="008B6109">
        <w:rPr>
          <w:rFonts w:cs="David" w:hint="cs"/>
          <w:color w:val="FF0000"/>
          <w:sz w:val="24"/>
          <w:szCs w:val="24"/>
          <w:rtl/>
        </w:rPr>
        <w:t xml:space="preserve"> </w:t>
      </w:r>
      <w:r w:rsidR="008B6109" w:rsidRPr="002C0510">
        <w:rPr>
          <w:rFonts w:cs="David" w:hint="cs"/>
          <w:sz w:val="24"/>
          <w:szCs w:val="24"/>
          <w:rtl/>
        </w:rPr>
        <w:t>ולאפשר לרשם למנוע הסתמכות על העתק שמעלה חשש למהימנותו</w:t>
      </w:r>
      <w:r w:rsidRPr="002C0510">
        <w:rPr>
          <w:rFonts w:cs="David" w:hint="cs"/>
          <w:sz w:val="24"/>
          <w:szCs w:val="24"/>
          <w:rtl/>
        </w:rPr>
        <w:t>,</w:t>
      </w:r>
      <w:r w:rsidRPr="00C62AB8">
        <w:rPr>
          <w:rFonts w:cs="David" w:hint="cs"/>
          <w:sz w:val="24"/>
          <w:szCs w:val="24"/>
          <w:rtl/>
        </w:rPr>
        <w:t xml:space="preserve"> מוצע לקבוע כי הרשם יהיה רשאי לדרוש ממי שהגיש עותק מצולם או סריקה של תצהיר או של מסמך רשמי של רשות </w:t>
      </w:r>
      <w:r w:rsidRPr="00C62AB8">
        <w:rPr>
          <w:rFonts w:cs="David"/>
          <w:sz w:val="24"/>
          <w:szCs w:val="24"/>
          <w:rtl/>
        </w:rPr>
        <w:t>–</w:t>
      </w:r>
      <w:r w:rsidRPr="00C62AB8">
        <w:rPr>
          <w:rFonts w:cs="David" w:hint="cs"/>
          <w:sz w:val="24"/>
          <w:szCs w:val="24"/>
          <w:rtl/>
        </w:rPr>
        <w:t xml:space="preserve"> שיגיש אותם במקור </w:t>
      </w:r>
      <w:r w:rsidRPr="00C62AB8">
        <w:rPr>
          <w:rFonts w:cs="David"/>
          <w:sz w:val="24"/>
          <w:szCs w:val="24"/>
          <w:rtl/>
        </w:rPr>
        <w:t>–</w:t>
      </w:r>
      <w:r w:rsidRPr="00C62AB8">
        <w:rPr>
          <w:rFonts w:cs="David" w:hint="cs"/>
          <w:sz w:val="24"/>
          <w:szCs w:val="24"/>
          <w:rtl/>
        </w:rPr>
        <w:t xml:space="preserve"> אם קיים חשש סביר כי ההעתק אינו מדויק או אינו זהה בתוכנו למקור (תקנה 190א המוצעת).</w:t>
      </w:r>
      <w:r w:rsidR="007C493B">
        <w:rPr>
          <w:rFonts w:cs="David" w:hint="cs"/>
          <w:sz w:val="24"/>
          <w:szCs w:val="24"/>
          <w:rtl/>
        </w:rPr>
        <w:t xml:space="preserve"> </w:t>
      </w:r>
    </w:p>
    <w:p w:rsidR="00571CD7" w:rsidRPr="003F743D" w:rsidRDefault="00571CD7" w:rsidP="003F743D">
      <w:pPr>
        <w:pStyle w:val="a6"/>
        <w:numPr>
          <w:ilvl w:val="0"/>
          <w:numId w:val="8"/>
        </w:numPr>
        <w:jc w:val="both"/>
        <w:rPr>
          <w:rFonts w:cs="David"/>
          <w:b/>
          <w:bCs/>
          <w:sz w:val="24"/>
          <w:szCs w:val="24"/>
        </w:rPr>
      </w:pPr>
      <w:r w:rsidRPr="003F743D">
        <w:rPr>
          <w:rFonts w:cs="David" w:hint="cs"/>
          <w:b/>
          <w:bCs/>
          <w:sz w:val="24"/>
          <w:szCs w:val="24"/>
          <w:rtl/>
        </w:rPr>
        <w:t>מועד לערעור</w:t>
      </w:r>
      <w:r w:rsidR="00C62AB8" w:rsidRPr="003F743D">
        <w:rPr>
          <w:rFonts w:cs="David" w:hint="cs"/>
          <w:b/>
          <w:bCs/>
          <w:sz w:val="24"/>
          <w:szCs w:val="24"/>
          <w:rtl/>
        </w:rPr>
        <w:t xml:space="preserve"> (תקנה 191)</w:t>
      </w:r>
    </w:p>
    <w:p w:rsidR="00571CD7" w:rsidRDefault="00DF486B" w:rsidP="00947792">
      <w:pPr>
        <w:jc w:val="both"/>
        <w:rPr>
          <w:rFonts w:cs="David"/>
          <w:sz w:val="24"/>
          <w:szCs w:val="24"/>
          <w:rtl/>
        </w:rPr>
      </w:pPr>
      <w:r>
        <w:rPr>
          <w:rFonts w:cs="David" w:hint="cs"/>
          <w:sz w:val="24"/>
          <w:szCs w:val="24"/>
          <w:rtl/>
        </w:rPr>
        <w:t xml:space="preserve">לפי תקנה 191, המועד להגשת ערעור על החלטות לפי החוק והתקנות הוא </w:t>
      </w:r>
      <w:r w:rsidRPr="00947792">
        <w:rPr>
          <w:rFonts w:cs="David" w:hint="cs"/>
          <w:b/>
          <w:bCs/>
          <w:sz w:val="24"/>
          <w:szCs w:val="24"/>
          <w:rtl/>
        </w:rPr>
        <w:t>תוך חודשיים</w:t>
      </w:r>
      <w:r>
        <w:rPr>
          <w:rFonts w:cs="David" w:hint="cs"/>
          <w:sz w:val="24"/>
          <w:szCs w:val="24"/>
          <w:rtl/>
        </w:rPr>
        <w:t xml:space="preserve"> </w:t>
      </w:r>
      <w:r w:rsidR="00947792">
        <w:rPr>
          <w:rFonts w:cs="David" w:hint="cs"/>
          <w:sz w:val="24"/>
          <w:szCs w:val="24"/>
          <w:rtl/>
        </w:rPr>
        <w:t>מ</w:t>
      </w:r>
      <w:r>
        <w:rPr>
          <w:rFonts w:cs="David" w:hint="cs"/>
          <w:sz w:val="24"/>
          <w:szCs w:val="24"/>
          <w:rtl/>
        </w:rPr>
        <w:t xml:space="preserve">ההחלטה. </w:t>
      </w:r>
    </w:p>
    <w:p w:rsidR="00DF486B" w:rsidRPr="00DF486B" w:rsidRDefault="00DF486B" w:rsidP="00C3287D">
      <w:pPr>
        <w:jc w:val="both"/>
        <w:rPr>
          <w:rFonts w:cs="David"/>
          <w:sz w:val="24"/>
          <w:szCs w:val="24"/>
          <w:rtl/>
        </w:rPr>
      </w:pPr>
      <w:r>
        <w:rPr>
          <w:rFonts w:cs="David" w:hint="cs"/>
          <w:sz w:val="24"/>
          <w:szCs w:val="24"/>
          <w:rtl/>
        </w:rPr>
        <w:t xml:space="preserve">מוצע לקבוע כי המועד להגשת ערעור יהיה </w:t>
      </w:r>
      <w:r w:rsidRPr="00947792">
        <w:rPr>
          <w:rFonts w:cs="David" w:hint="cs"/>
          <w:b/>
          <w:bCs/>
          <w:sz w:val="24"/>
          <w:szCs w:val="24"/>
          <w:rtl/>
        </w:rPr>
        <w:t>תוך 45 ימים</w:t>
      </w:r>
      <w:r>
        <w:rPr>
          <w:rFonts w:cs="David" w:hint="cs"/>
          <w:sz w:val="24"/>
          <w:szCs w:val="24"/>
          <w:rtl/>
        </w:rPr>
        <w:t xml:space="preserve"> מתאריך ההחלטה. זאת, בדומה לקבוע בתקנה 397 לתקנות </w:t>
      </w:r>
      <w:proofErr w:type="spellStart"/>
      <w:r w:rsidR="00C3287D">
        <w:rPr>
          <w:rFonts w:cs="David" w:hint="cs"/>
          <w:sz w:val="24"/>
          <w:szCs w:val="24"/>
          <w:rtl/>
        </w:rPr>
        <w:t>סד"א</w:t>
      </w:r>
      <w:proofErr w:type="spellEnd"/>
      <w:r>
        <w:rPr>
          <w:rFonts w:cs="David" w:hint="cs"/>
          <w:sz w:val="24"/>
          <w:szCs w:val="24"/>
          <w:rtl/>
        </w:rPr>
        <w:t>.</w:t>
      </w:r>
      <w:r w:rsidR="00947792">
        <w:rPr>
          <w:rStyle w:val="a5"/>
          <w:rFonts w:cs="David"/>
          <w:sz w:val="24"/>
          <w:szCs w:val="24"/>
          <w:rtl/>
        </w:rPr>
        <w:footnoteReference w:id="16"/>
      </w:r>
      <w:r>
        <w:rPr>
          <w:rFonts w:cs="David" w:hint="cs"/>
          <w:sz w:val="24"/>
          <w:szCs w:val="24"/>
          <w:rtl/>
        </w:rPr>
        <w:t xml:space="preserve"> </w:t>
      </w:r>
    </w:p>
    <w:p w:rsidR="00571CD7" w:rsidRPr="00DF486B" w:rsidRDefault="005F6F77" w:rsidP="00DF486B">
      <w:pPr>
        <w:jc w:val="both"/>
        <w:rPr>
          <w:rFonts w:cs="David"/>
          <w:sz w:val="24"/>
          <w:szCs w:val="24"/>
          <w:rtl/>
        </w:rPr>
      </w:pPr>
      <w:r>
        <w:rPr>
          <w:rFonts w:cs="David" w:hint="cs"/>
          <w:sz w:val="24"/>
          <w:szCs w:val="24"/>
          <w:rtl/>
        </w:rPr>
        <w:t xml:space="preserve">כן מוצע לקבוע הוראת תחילה לפיה תיקון זה יחול רק על החלטות שיינתנו מיום התחילה ואילך. </w:t>
      </w:r>
    </w:p>
    <w:p w:rsidR="007B39E0" w:rsidRPr="00CE448E" w:rsidRDefault="006847DD" w:rsidP="00CD0248">
      <w:pPr>
        <w:pStyle w:val="a6"/>
        <w:numPr>
          <w:ilvl w:val="0"/>
          <w:numId w:val="8"/>
        </w:numPr>
        <w:jc w:val="both"/>
        <w:rPr>
          <w:rFonts w:cs="David"/>
          <w:b/>
          <w:bCs/>
          <w:sz w:val="24"/>
          <w:szCs w:val="24"/>
        </w:rPr>
      </w:pPr>
      <w:r>
        <w:rPr>
          <w:rFonts w:cs="David"/>
          <w:b/>
          <w:bCs/>
          <w:sz w:val="24"/>
          <w:szCs w:val="24"/>
          <w:rtl/>
        </w:rPr>
        <w:t>אגרות</w:t>
      </w:r>
      <w:r w:rsidR="00C62AB8">
        <w:rPr>
          <w:rFonts w:cs="David" w:hint="cs"/>
          <w:b/>
          <w:bCs/>
          <w:sz w:val="24"/>
          <w:szCs w:val="24"/>
          <w:rtl/>
        </w:rPr>
        <w:t xml:space="preserve"> (</w:t>
      </w:r>
      <w:r w:rsidR="00CD0248">
        <w:rPr>
          <w:rFonts w:cs="David" w:hint="cs"/>
          <w:b/>
          <w:bCs/>
          <w:sz w:val="24"/>
          <w:szCs w:val="24"/>
          <w:rtl/>
        </w:rPr>
        <w:t xml:space="preserve">פרט 1 לתוספת </w:t>
      </w:r>
      <w:proofErr w:type="spellStart"/>
      <w:r w:rsidR="00CD0248">
        <w:rPr>
          <w:rFonts w:cs="David" w:hint="cs"/>
          <w:b/>
          <w:bCs/>
          <w:sz w:val="24"/>
          <w:szCs w:val="24"/>
          <w:rtl/>
        </w:rPr>
        <w:t>השניה</w:t>
      </w:r>
      <w:proofErr w:type="spellEnd"/>
      <w:r w:rsidR="00CD0248">
        <w:rPr>
          <w:rFonts w:cs="David" w:hint="cs"/>
          <w:b/>
          <w:bCs/>
          <w:sz w:val="24"/>
          <w:szCs w:val="24"/>
          <w:rtl/>
        </w:rPr>
        <w:t xml:space="preserve"> ותקנה 118</w:t>
      </w:r>
      <w:r w:rsidR="00C62AB8">
        <w:rPr>
          <w:rFonts w:cs="David" w:hint="cs"/>
          <w:b/>
          <w:bCs/>
          <w:sz w:val="24"/>
          <w:szCs w:val="24"/>
          <w:rtl/>
        </w:rPr>
        <w:t>)</w:t>
      </w:r>
    </w:p>
    <w:p w:rsidR="007B39E0" w:rsidRPr="008F176B" w:rsidRDefault="007B39E0" w:rsidP="002E213B">
      <w:pPr>
        <w:pStyle w:val="a6"/>
        <w:numPr>
          <w:ilvl w:val="0"/>
          <w:numId w:val="38"/>
        </w:numPr>
        <w:ind w:left="368"/>
        <w:jc w:val="both"/>
        <w:rPr>
          <w:rFonts w:cs="David"/>
          <w:sz w:val="24"/>
          <w:szCs w:val="24"/>
        </w:rPr>
      </w:pPr>
      <w:r w:rsidRPr="008F176B">
        <w:rPr>
          <w:rFonts w:cs="David"/>
          <w:b/>
          <w:bCs/>
          <w:sz w:val="24"/>
          <w:szCs w:val="24"/>
          <w:rtl/>
        </w:rPr>
        <w:t>ביטול אג</w:t>
      </w:r>
      <w:r w:rsidR="008F176B" w:rsidRPr="008F176B">
        <w:rPr>
          <w:rFonts w:cs="David"/>
          <w:b/>
          <w:bCs/>
          <w:sz w:val="24"/>
          <w:szCs w:val="24"/>
          <w:rtl/>
        </w:rPr>
        <w:t xml:space="preserve">רה עבור עיון במסמכים </w:t>
      </w:r>
      <w:r w:rsidR="008F176B" w:rsidRPr="008F176B">
        <w:rPr>
          <w:rFonts w:cs="David" w:hint="cs"/>
          <w:b/>
          <w:bCs/>
          <w:sz w:val="24"/>
          <w:szCs w:val="24"/>
          <w:rtl/>
        </w:rPr>
        <w:t>(תקנה 118)</w:t>
      </w:r>
      <w:r w:rsidR="008F176B">
        <w:rPr>
          <w:rFonts w:cs="David" w:hint="cs"/>
          <w:sz w:val="24"/>
          <w:szCs w:val="24"/>
          <w:rtl/>
        </w:rPr>
        <w:t xml:space="preserve">: תקנה 118 קובעת כי לאחר פרסום דבר הגשת בקשת פטנט, יהיו הבקשה וכל חומר שצורף אליה פתוחים לעיון, ובלבד שתשולם האגרה שנקבעה לכך. נכון להיום, העיון בתיקי פטנט מתבצע באינטרנט ולא נגבית בעדו אגרה. מוצע להתאים את התקנות לכך. </w:t>
      </w:r>
    </w:p>
    <w:p w:rsidR="008F176B" w:rsidRDefault="007B39E0" w:rsidP="00B828C9">
      <w:pPr>
        <w:pStyle w:val="a6"/>
        <w:numPr>
          <w:ilvl w:val="0"/>
          <w:numId w:val="38"/>
        </w:numPr>
        <w:ind w:left="368"/>
        <w:jc w:val="both"/>
        <w:rPr>
          <w:rFonts w:cs="David"/>
          <w:sz w:val="24"/>
          <w:szCs w:val="24"/>
        </w:rPr>
      </w:pPr>
      <w:r w:rsidRPr="008F176B">
        <w:rPr>
          <w:rFonts w:cs="David"/>
          <w:b/>
          <w:bCs/>
          <w:sz w:val="24"/>
          <w:szCs w:val="24"/>
          <w:rtl/>
        </w:rPr>
        <w:t xml:space="preserve">הנחה למוסדות להשכלה גבוהה </w:t>
      </w:r>
      <w:r w:rsidR="008F176B" w:rsidRPr="008F176B">
        <w:rPr>
          <w:rFonts w:cs="David" w:hint="cs"/>
          <w:b/>
          <w:bCs/>
          <w:sz w:val="24"/>
          <w:szCs w:val="24"/>
          <w:rtl/>
        </w:rPr>
        <w:t>(פרט 1 לתוספת השנייה)</w:t>
      </w:r>
      <w:r w:rsidR="008F176B">
        <w:rPr>
          <w:rFonts w:cs="David" w:hint="cs"/>
          <w:sz w:val="24"/>
          <w:szCs w:val="24"/>
          <w:rtl/>
        </w:rPr>
        <w:t xml:space="preserve">: אגרת הגשת בקשה לפטנט עומדת היום על סך של 2,031 ש"ח. ואולם, פרט 1 לתוספת השנייה קובע אגרה מופחתת ל"מבקש שאינו חברה ואינו שותפות, או חברה או שותפות שמחזור עסקיה בשנה הקודמת לא עלה על 10 מיליון שקלים חדשים". ההנחה היא </w:t>
      </w:r>
      <w:r w:rsidR="00782512">
        <w:rPr>
          <w:rFonts w:cs="David" w:hint="cs"/>
          <w:sz w:val="24"/>
          <w:szCs w:val="24"/>
          <w:rtl/>
        </w:rPr>
        <w:t>בשיעור של</w:t>
      </w:r>
      <w:r w:rsidR="008F176B">
        <w:rPr>
          <w:rFonts w:cs="David" w:hint="cs"/>
          <w:sz w:val="24"/>
          <w:szCs w:val="24"/>
          <w:rtl/>
        </w:rPr>
        <w:t xml:space="preserve"> 40% עבור בקשה ראשונה לפטנט על אמצאה מסוימת. כעת מוצע ל</w:t>
      </w:r>
      <w:r w:rsidR="00782512">
        <w:rPr>
          <w:rFonts w:cs="David" w:hint="cs"/>
          <w:sz w:val="24"/>
          <w:szCs w:val="24"/>
          <w:rtl/>
        </w:rPr>
        <w:t>העניק את הפטור האמור גם למוסד</w:t>
      </w:r>
      <w:r w:rsidR="003F3384">
        <w:rPr>
          <w:rFonts w:cs="David" w:hint="cs"/>
          <w:sz w:val="24"/>
          <w:szCs w:val="24"/>
          <w:rtl/>
        </w:rPr>
        <w:t>ות</w:t>
      </w:r>
      <w:r w:rsidR="00782512">
        <w:rPr>
          <w:rFonts w:cs="David" w:hint="cs"/>
          <w:sz w:val="24"/>
          <w:szCs w:val="24"/>
          <w:rtl/>
        </w:rPr>
        <w:t xml:space="preserve"> להשכלה גבו</w:t>
      </w:r>
      <w:r w:rsidR="00CD0248">
        <w:rPr>
          <w:rFonts w:cs="David" w:hint="cs"/>
          <w:sz w:val="24"/>
          <w:szCs w:val="24"/>
          <w:rtl/>
        </w:rPr>
        <w:t>הה, או לחברות היישום שלהם</w:t>
      </w:r>
      <w:r w:rsidR="00782512">
        <w:rPr>
          <w:rFonts w:cs="David" w:hint="cs"/>
          <w:sz w:val="24"/>
          <w:szCs w:val="24"/>
          <w:rtl/>
        </w:rPr>
        <w:t xml:space="preserve"> </w:t>
      </w:r>
      <w:r w:rsidR="00782512">
        <w:rPr>
          <w:rFonts w:cs="David"/>
          <w:sz w:val="24"/>
          <w:szCs w:val="24"/>
          <w:rtl/>
        </w:rPr>
        <w:t>–</w:t>
      </w:r>
      <w:r w:rsidR="00782512">
        <w:rPr>
          <w:rFonts w:cs="David" w:hint="cs"/>
          <w:sz w:val="24"/>
          <w:szCs w:val="24"/>
          <w:rtl/>
        </w:rPr>
        <w:t xml:space="preserve"> שהן חברות בת שעיסוקן בהגנה ובניהול הקניין הרוחני הנובע מאמצאות שפותחו באותו מוסד.</w:t>
      </w:r>
    </w:p>
    <w:p w:rsidR="00782512" w:rsidRDefault="00782512" w:rsidP="00E77CD4">
      <w:pPr>
        <w:spacing w:after="0" w:line="240" w:lineRule="auto"/>
        <w:ind w:left="8"/>
        <w:jc w:val="both"/>
        <w:rPr>
          <w:rFonts w:cs="David"/>
          <w:sz w:val="24"/>
          <w:szCs w:val="24"/>
          <w:rtl/>
        </w:rPr>
      </w:pPr>
      <w:r w:rsidRPr="00F039D3">
        <w:rPr>
          <w:rFonts w:cs="David" w:hint="cs"/>
          <w:sz w:val="24"/>
          <w:szCs w:val="24"/>
          <w:highlight w:val="yellow"/>
          <w:u w:val="single"/>
          <w:rtl/>
        </w:rPr>
        <w:t>לדיון</w:t>
      </w:r>
      <w:r>
        <w:rPr>
          <w:rFonts w:cs="David" w:hint="cs"/>
          <w:sz w:val="24"/>
          <w:szCs w:val="24"/>
          <w:rtl/>
        </w:rPr>
        <w:t xml:space="preserve">: </w:t>
      </w:r>
      <w:r w:rsidR="00E77CD4">
        <w:rPr>
          <w:rFonts w:cs="David" w:hint="cs"/>
          <w:sz w:val="24"/>
          <w:szCs w:val="24"/>
          <w:rtl/>
        </w:rPr>
        <w:t>לפי נתוני הרשות,</w:t>
      </w:r>
      <w:r w:rsidR="0024720C">
        <w:rPr>
          <w:rFonts w:cs="David" w:hint="cs"/>
          <w:sz w:val="24"/>
          <w:szCs w:val="24"/>
          <w:rtl/>
        </w:rPr>
        <w:t xml:space="preserve"> בשנת</w:t>
      </w:r>
      <w:r w:rsidR="00E77CD4">
        <w:rPr>
          <w:rFonts w:cs="David" w:hint="cs"/>
          <w:sz w:val="24"/>
          <w:szCs w:val="24"/>
          <w:rtl/>
        </w:rPr>
        <w:t xml:space="preserve"> 2014 הוגשו 73 </w:t>
      </w:r>
      <w:r>
        <w:rPr>
          <w:rFonts w:cs="David" w:hint="cs"/>
          <w:sz w:val="24"/>
          <w:szCs w:val="24"/>
          <w:rtl/>
        </w:rPr>
        <w:t>בקשות פטנט על ידי מוסדות להשכלה גבוהה או חברות הבת שלהם</w:t>
      </w:r>
      <w:r w:rsidR="00E77CD4">
        <w:rPr>
          <w:rFonts w:cs="David" w:hint="cs"/>
          <w:sz w:val="24"/>
          <w:szCs w:val="24"/>
          <w:rtl/>
        </w:rPr>
        <w:t>, בשנת 2013 הוגשו 106 בקשות כאמור, ובשנת 2012 הוגשו 121 בקשות.</w:t>
      </w:r>
      <w:r w:rsidR="00A844DA">
        <w:rPr>
          <w:rFonts w:cs="David" w:hint="cs"/>
          <w:sz w:val="24"/>
          <w:szCs w:val="24"/>
          <w:rtl/>
        </w:rPr>
        <w:t xml:space="preserve"> </w:t>
      </w:r>
      <w:r w:rsidR="00E77CD4">
        <w:rPr>
          <w:rFonts w:cs="David" w:hint="cs"/>
          <w:sz w:val="24"/>
          <w:szCs w:val="24"/>
          <w:rtl/>
        </w:rPr>
        <w:t xml:space="preserve">מוצע לברר </w:t>
      </w:r>
      <w:r w:rsidR="00A844DA">
        <w:rPr>
          <w:rFonts w:cs="David" w:hint="cs"/>
          <w:sz w:val="24"/>
          <w:szCs w:val="24"/>
          <w:rtl/>
        </w:rPr>
        <w:t>מדוע מבקשים להעניק להם הנחה באגרה</w:t>
      </w:r>
      <w:r>
        <w:rPr>
          <w:rFonts w:cs="David" w:hint="cs"/>
          <w:sz w:val="24"/>
          <w:szCs w:val="24"/>
          <w:rtl/>
        </w:rPr>
        <w:t>.</w:t>
      </w:r>
    </w:p>
    <w:p w:rsidR="00782512" w:rsidRDefault="00782512" w:rsidP="00782512">
      <w:pPr>
        <w:spacing w:after="0" w:line="240" w:lineRule="auto"/>
        <w:ind w:left="8"/>
        <w:jc w:val="both"/>
        <w:rPr>
          <w:rFonts w:cs="David"/>
          <w:sz w:val="24"/>
          <w:szCs w:val="24"/>
          <w:rtl/>
        </w:rPr>
      </w:pPr>
    </w:p>
    <w:p w:rsidR="009C0718" w:rsidRPr="00A844DA" w:rsidRDefault="009C0718" w:rsidP="00A844DA">
      <w:pPr>
        <w:spacing w:after="0" w:line="240" w:lineRule="auto"/>
        <w:rPr>
          <w:rFonts w:cs="David"/>
          <w:sz w:val="24"/>
          <w:szCs w:val="24"/>
          <w:highlight w:val="yellow"/>
          <w:rtl/>
        </w:rPr>
      </w:pPr>
    </w:p>
    <w:sectPr w:rsidR="009C0718" w:rsidRPr="00A844DA" w:rsidSect="007C2E85">
      <w:headerReference w:type="default" r:id="rId9"/>
      <w:footerReference w:type="default" r:id="rId10"/>
      <w:head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95" w:rsidRDefault="00CD0895" w:rsidP="001D15DE">
      <w:pPr>
        <w:spacing w:after="0" w:line="240" w:lineRule="auto"/>
      </w:pPr>
      <w:r>
        <w:separator/>
      </w:r>
    </w:p>
  </w:endnote>
  <w:endnote w:type="continuationSeparator" w:id="0">
    <w:p w:rsidR="00CD0895" w:rsidRDefault="00CD0895" w:rsidP="001D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147016423"/>
      <w:docPartObj>
        <w:docPartGallery w:val="Page Numbers (Bottom of Page)"/>
        <w:docPartUnique/>
      </w:docPartObj>
    </w:sdtPr>
    <w:sdtEndPr/>
    <w:sdtContent>
      <w:p w:rsidR="00CD0895" w:rsidRPr="0009311D" w:rsidRDefault="00CD0895">
        <w:pPr>
          <w:pStyle w:val="a9"/>
          <w:jc w:val="right"/>
          <w:rPr>
            <w:rFonts w:cs="David"/>
            <w:rtl/>
            <w:cs/>
          </w:rPr>
        </w:pPr>
        <w:r w:rsidRPr="0009311D">
          <w:rPr>
            <w:rFonts w:cs="David"/>
          </w:rPr>
          <w:fldChar w:fldCharType="begin"/>
        </w:r>
        <w:r w:rsidRPr="0009311D">
          <w:rPr>
            <w:rFonts w:cs="David"/>
            <w:rtl/>
            <w:cs/>
          </w:rPr>
          <w:instrText>PAGE   \* MERGEFORMAT</w:instrText>
        </w:r>
        <w:r w:rsidRPr="0009311D">
          <w:rPr>
            <w:rFonts w:cs="David"/>
          </w:rPr>
          <w:fldChar w:fldCharType="separate"/>
        </w:r>
        <w:r w:rsidR="009C3063" w:rsidRPr="009C3063">
          <w:rPr>
            <w:rFonts w:cs="David"/>
            <w:noProof/>
            <w:rtl/>
            <w:lang w:val="he-IL"/>
          </w:rPr>
          <w:t>10</w:t>
        </w:r>
        <w:r w:rsidRPr="0009311D">
          <w:rPr>
            <w:rFonts w:cs="David"/>
          </w:rPr>
          <w:fldChar w:fldCharType="end"/>
        </w:r>
      </w:p>
    </w:sdtContent>
  </w:sdt>
  <w:p w:rsidR="00CD0895" w:rsidRDefault="00CD08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95" w:rsidRDefault="00CD0895" w:rsidP="001D15DE">
      <w:pPr>
        <w:spacing w:after="0" w:line="240" w:lineRule="auto"/>
      </w:pPr>
      <w:r>
        <w:separator/>
      </w:r>
    </w:p>
  </w:footnote>
  <w:footnote w:type="continuationSeparator" w:id="0">
    <w:p w:rsidR="00CD0895" w:rsidRDefault="00CD0895" w:rsidP="001D15DE">
      <w:pPr>
        <w:spacing w:after="0" w:line="240" w:lineRule="auto"/>
      </w:pPr>
      <w:r>
        <w:continuationSeparator/>
      </w:r>
    </w:p>
  </w:footnote>
  <w:footnote w:id="1">
    <w:p w:rsidR="00CD0895" w:rsidRDefault="00CD0895" w:rsidP="006E7004">
      <w:pPr>
        <w:pStyle w:val="a3"/>
        <w:rPr>
          <w:rtl/>
        </w:rPr>
      </w:pPr>
      <w:r>
        <w:rPr>
          <w:rStyle w:val="a5"/>
        </w:rPr>
        <w:footnoteRef/>
      </w:r>
      <w:r>
        <w:rPr>
          <w:rtl/>
        </w:rPr>
        <w:t xml:space="preserve"> </w:t>
      </w:r>
      <w:r w:rsidRPr="009E0D57">
        <w:rPr>
          <w:rFonts w:cs="David" w:hint="cs"/>
          <w:rtl/>
        </w:rPr>
        <w:t xml:space="preserve">חוק הפטנטים (תיקון מס' 10), התשע"ב-2012, ס"ח </w:t>
      </w:r>
      <w:proofErr w:type="spellStart"/>
      <w:r w:rsidRPr="009E0D57">
        <w:rPr>
          <w:rFonts w:cs="David" w:hint="cs"/>
          <w:rtl/>
        </w:rPr>
        <w:t>התשע"ב</w:t>
      </w:r>
      <w:proofErr w:type="spellEnd"/>
      <w:r w:rsidRPr="009E0D57">
        <w:rPr>
          <w:rFonts w:cs="David" w:hint="cs"/>
          <w:rtl/>
        </w:rPr>
        <w:t>, עמ' 483 (פורסם ביום 12.7.2012)</w:t>
      </w:r>
      <w:r>
        <w:rPr>
          <w:rFonts w:hint="cs"/>
          <w:rtl/>
        </w:rPr>
        <w:t>.</w:t>
      </w:r>
    </w:p>
  </w:footnote>
  <w:footnote w:id="2">
    <w:p w:rsidR="00CD0895" w:rsidRPr="009E0D57" w:rsidRDefault="00CD0895" w:rsidP="00287695">
      <w:pPr>
        <w:pStyle w:val="a3"/>
        <w:jc w:val="both"/>
        <w:rPr>
          <w:rFonts w:cs="David"/>
        </w:rPr>
      </w:pPr>
      <w:r w:rsidRPr="009E0D57">
        <w:rPr>
          <w:rStyle w:val="a5"/>
          <w:rFonts w:cs="David"/>
        </w:rPr>
        <w:footnoteRef/>
      </w:r>
      <w:r w:rsidRPr="009E0D57">
        <w:rPr>
          <w:rFonts w:cs="David"/>
          <w:rtl/>
        </w:rPr>
        <w:t xml:space="preserve"> </w:t>
      </w:r>
      <w:r w:rsidRPr="009E0D57">
        <w:rPr>
          <w:rFonts w:cs="David" w:hint="cs"/>
          <w:rtl/>
        </w:rPr>
        <w:t>סעיפים 49 ו-52 לחוק.</w:t>
      </w:r>
    </w:p>
  </w:footnote>
  <w:footnote w:id="3">
    <w:p w:rsidR="00CD0895" w:rsidRPr="009E0D57" w:rsidRDefault="00CD0895" w:rsidP="00287695">
      <w:pPr>
        <w:pStyle w:val="a3"/>
        <w:jc w:val="both"/>
        <w:rPr>
          <w:rFonts w:cs="David"/>
        </w:rPr>
      </w:pPr>
      <w:r w:rsidRPr="009E0D57">
        <w:rPr>
          <w:rStyle w:val="a5"/>
          <w:rFonts w:cs="David"/>
        </w:rPr>
        <w:footnoteRef/>
      </w:r>
      <w:r w:rsidRPr="009E0D57">
        <w:rPr>
          <w:rFonts w:cs="David"/>
          <w:rtl/>
        </w:rPr>
        <w:t xml:space="preserve"> </w:t>
      </w:r>
      <w:r w:rsidRPr="009E0D57">
        <w:rPr>
          <w:rFonts w:cs="David" w:hint="cs"/>
          <w:rtl/>
        </w:rPr>
        <w:t>סעיף 179 לחוק.</w:t>
      </w:r>
    </w:p>
  </w:footnote>
  <w:footnote w:id="4">
    <w:p w:rsidR="00CD0895" w:rsidRPr="00156357" w:rsidRDefault="00CD0895" w:rsidP="009E0B85">
      <w:pPr>
        <w:pStyle w:val="a3"/>
        <w:jc w:val="both"/>
        <w:rPr>
          <w:rFonts w:cs="David"/>
          <w:rtl/>
        </w:rPr>
      </w:pPr>
      <w:r w:rsidRPr="00156357">
        <w:rPr>
          <w:rStyle w:val="a5"/>
          <w:rFonts w:cs="David"/>
        </w:rPr>
        <w:footnoteRef/>
      </w:r>
      <w:r w:rsidRPr="00156357">
        <w:rPr>
          <w:rFonts w:cs="David"/>
          <w:rtl/>
        </w:rPr>
        <w:t xml:space="preserve"> </w:t>
      </w:r>
      <w:r w:rsidRPr="00156357">
        <w:rPr>
          <w:rFonts w:cs="David" w:hint="cs"/>
          <w:rtl/>
        </w:rPr>
        <w:t>ראו דברי יו"ר הוועדה דאז, חה"כ דוד ר</w:t>
      </w:r>
      <w:r>
        <w:rPr>
          <w:rFonts w:cs="David" w:hint="cs"/>
          <w:rtl/>
        </w:rPr>
        <w:t xml:space="preserve">ותם, בפרוטוקול מס' 556 של ועדת </w:t>
      </w:r>
      <w:r w:rsidRPr="00156357">
        <w:rPr>
          <w:rFonts w:cs="David" w:hint="cs"/>
          <w:rtl/>
        </w:rPr>
        <w:t>חוקה מיום 13.2.2012, בעמ' 35-31; וראו גם פרוטוקול מס' 627 של הוו</w:t>
      </w:r>
      <w:r>
        <w:rPr>
          <w:rFonts w:cs="David" w:hint="cs"/>
          <w:rtl/>
        </w:rPr>
        <w:t xml:space="preserve">עדה מיום 2.7.2012 בדיון בתיקון </w:t>
      </w:r>
      <w:r w:rsidRPr="00156357">
        <w:rPr>
          <w:rFonts w:cs="David" w:hint="cs"/>
          <w:rtl/>
        </w:rPr>
        <w:t>לתקנות הפטנטים בעקבות תיקון מס' 10 לחוק.</w:t>
      </w:r>
    </w:p>
  </w:footnote>
  <w:footnote w:id="5">
    <w:p w:rsidR="00CD0895" w:rsidRPr="005017FA" w:rsidRDefault="00CD0895" w:rsidP="008F361D">
      <w:pPr>
        <w:pStyle w:val="a3"/>
        <w:rPr>
          <w:rFonts w:cs="David"/>
          <w:sz w:val="17"/>
          <w:szCs w:val="17"/>
          <w:rtl/>
        </w:rPr>
      </w:pPr>
      <w:r w:rsidRPr="005017FA">
        <w:rPr>
          <w:rStyle w:val="a5"/>
          <w:rFonts w:cs="David"/>
        </w:rPr>
        <w:footnoteRef/>
      </w:r>
      <w:r w:rsidRPr="005017FA">
        <w:rPr>
          <w:rFonts w:cs="David"/>
          <w:rtl/>
        </w:rPr>
        <w:t xml:space="preserve"> </w:t>
      </w:r>
      <w:r w:rsidRPr="005017FA">
        <w:rPr>
          <w:rFonts w:cs="David" w:hint="cs"/>
          <w:rtl/>
        </w:rPr>
        <w:t>רשות הפטנטים, דוח שנתי לשנת 2013, בעמ'</w:t>
      </w:r>
      <w:r>
        <w:rPr>
          <w:rFonts w:cs="David" w:hint="cs"/>
          <w:rtl/>
        </w:rPr>
        <w:t xml:space="preserve"> 13 ו-</w:t>
      </w:r>
      <w:r w:rsidRPr="005017FA">
        <w:rPr>
          <w:rFonts w:cs="David" w:hint="cs"/>
          <w:rtl/>
        </w:rPr>
        <w:t>34. פורסם באתר הרשות:</w:t>
      </w:r>
      <w:r w:rsidR="00103F7B" w:rsidRPr="00103F7B">
        <w:rPr>
          <w:rFonts w:cs="David"/>
          <w:sz w:val="17"/>
          <w:szCs w:val="17"/>
        </w:rPr>
        <w:t xml:space="preserve"> </w:t>
      </w:r>
      <w:r w:rsidR="00103F7B" w:rsidRPr="005017FA">
        <w:rPr>
          <w:rFonts w:cs="David"/>
          <w:sz w:val="17"/>
          <w:szCs w:val="17"/>
        </w:rPr>
        <w:t>http://index.justice.gov.il/Units/RashamHaptentim/news/Documents/AnnualReport2013Heb.pdf</w:t>
      </w:r>
      <w:r w:rsidR="00103F7B" w:rsidRPr="005017FA">
        <w:rPr>
          <w:rFonts w:cs="David" w:hint="cs"/>
          <w:sz w:val="17"/>
          <w:szCs w:val="17"/>
          <w:rtl/>
        </w:rPr>
        <w:t>.</w:t>
      </w:r>
      <w:r w:rsidRPr="005017FA">
        <w:rPr>
          <w:rFonts w:cs="David" w:hint="cs"/>
          <w:rtl/>
        </w:rPr>
        <w:t xml:space="preserve"> </w:t>
      </w:r>
      <w:r w:rsidRPr="005017FA">
        <w:rPr>
          <w:rFonts w:cs="David" w:hint="cs"/>
          <w:sz w:val="17"/>
          <w:szCs w:val="17"/>
          <w:rtl/>
        </w:rPr>
        <w:t>.</w:t>
      </w:r>
    </w:p>
  </w:footnote>
  <w:footnote w:id="6">
    <w:p w:rsidR="00CD0895" w:rsidRPr="0049455C" w:rsidRDefault="00CD0895" w:rsidP="00C62AB8">
      <w:pPr>
        <w:pStyle w:val="a3"/>
        <w:jc w:val="both"/>
        <w:rPr>
          <w:rFonts w:cs="David"/>
        </w:rPr>
      </w:pPr>
      <w:r w:rsidRPr="0049455C">
        <w:rPr>
          <w:rStyle w:val="a5"/>
          <w:rFonts w:cs="David"/>
        </w:rPr>
        <w:footnoteRef/>
      </w:r>
      <w:r w:rsidRPr="0049455C">
        <w:rPr>
          <w:rFonts w:cs="David"/>
          <w:rtl/>
        </w:rPr>
        <w:t xml:space="preserve"> </w:t>
      </w:r>
      <w:r w:rsidRPr="0049455C">
        <w:rPr>
          <w:rFonts w:cs="David" w:hint="cs"/>
          <w:rtl/>
        </w:rPr>
        <w:t xml:space="preserve">חוזר רשם הפטנטים מס' 006/2011 </w:t>
      </w:r>
      <w:r w:rsidRPr="0049455C">
        <w:rPr>
          <w:rFonts w:cs="David"/>
          <w:rtl/>
        </w:rPr>
        <w:t>–</w:t>
      </w:r>
      <w:r w:rsidRPr="0049455C">
        <w:rPr>
          <w:rFonts w:cs="David" w:hint="cs"/>
          <w:rtl/>
        </w:rPr>
        <w:t xml:space="preserve"> כללי, מיום 13.9.2011 (פורסם באתר האינטרנט של הרשות: </w:t>
      </w:r>
      <w:r w:rsidRPr="00C3287D">
        <w:rPr>
          <w:rFonts w:cs="David"/>
          <w:sz w:val="17"/>
          <w:szCs w:val="17"/>
        </w:rPr>
        <w:t>http://index.justice.gov.il/Units/RashamHaptentim/legalinfo/HozreyRasham/Hozer0062011.pdf</w:t>
      </w:r>
      <w:r w:rsidRPr="00C3287D">
        <w:rPr>
          <w:rFonts w:cs="David" w:hint="cs"/>
          <w:sz w:val="17"/>
          <w:szCs w:val="17"/>
          <w:rtl/>
        </w:rPr>
        <w:t>).</w:t>
      </w:r>
    </w:p>
  </w:footnote>
  <w:footnote w:id="7">
    <w:p w:rsidR="00CD0895" w:rsidRDefault="00CD0895" w:rsidP="006C5497">
      <w:pPr>
        <w:pStyle w:val="a3"/>
        <w:jc w:val="both"/>
      </w:pPr>
      <w:r w:rsidRPr="006C5497">
        <w:rPr>
          <w:rFonts w:cs="David"/>
        </w:rPr>
        <w:footnoteRef/>
      </w:r>
      <w:r w:rsidRPr="006C5497">
        <w:rPr>
          <w:rFonts w:cs="David"/>
          <w:rtl/>
        </w:rPr>
        <w:t xml:space="preserve"> </w:t>
      </w:r>
      <w:r w:rsidRPr="006C5497">
        <w:rPr>
          <w:rFonts w:cs="David" w:hint="cs"/>
          <w:rtl/>
        </w:rPr>
        <w:t xml:space="preserve">ועדות ערר לפי סעיפים 96 ו-101 לחוק שתפקידן להכריע </w:t>
      </w:r>
      <w:proofErr w:type="spellStart"/>
      <w:r w:rsidRPr="006C5497">
        <w:rPr>
          <w:rFonts w:cs="David" w:hint="cs"/>
          <w:rtl/>
        </w:rPr>
        <w:t>בעררים</w:t>
      </w:r>
      <w:proofErr w:type="spellEnd"/>
      <w:r w:rsidRPr="006C5497">
        <w:rPr>
          <w:rFonts w:cs="David" w:hint="cs"/>
          <w:rtl/>
        </w:rPr>
        <w:t xml:space="preserve"> בדבר סמכויות המדינה בעניין הגנת המדינה ובעניין אמצאות הנוגעות לאנרגיה גרעינית</w:t>
      </w:r>
      <w:r>
        <w:rPr>
          <w:rFonts w:cs="David" w:hint="cs"/>
          <w:rtl/>
        </w:rPr>
        <w:t>;</w:t>
      </w:r>
      <w:r w:rsidRPr="006C5497">
        <w:rPr>
          <w:rFonts w:cs="David" w:hint="cs"/>
          <w:rtl/>
        </w:rPr>
        <w:t xml:space="preserve"> והוועדה לענייני פיצויים ותמלוגים לפי סעיף 109 לחוק </w:t>
      </w:r>
      <w:r>
        <w:rPr>
          <w:rFonts w:cs="David" w:hint="cs"/>
          <w:rtl/>
        </w:rPr>
        <w:t>ש</w:t>
      </w:r>
      <w:r w:rsidRPr="006C5497">
        <w:rPr>
          <w:rFonts w:cs="David" w:hint="cs"/>
          <w:rtl/>
        </w:rPr>
        <w:t xml:space="preserve">תפקידה להכריע בתביעות </w:t>
      </w:r>
      <w:r>
        <w:rPr>
          <w:rFonts w:cs="David" w:hint="cs"/>
          <w:rtl/>
        </w:rPr>
        <w:t xml:space="preserve">מהמדינה באותם נושאים בעלי אופי ביטחוני ובתביעות בעניין אמצאות שירות. </w:t>
      </w:r>
    </w:p>
  </w:footnote>
  <w:footnote w:id="8">
    <w:p w:rsidR="00CD0895" w:rsidRPr="00777F73" w:rsidRDefault="00CD0895" w:rsidP="00FC72A6">
      <w:pPr>
        <w:pStyle w:val="a3"/>
        <w:jc w:val="both"/>
        <w:rPr>
          <w:rFonts w:cs="David"/>
        </w:rPr>
      </w:pPr>
      <w:r w:rsidRPr="00777F73">
        <w:rPr>
          <w:rFonts w:cs="David"/>
        </w:rPr>
        <w:footnoteRef/>
      </w:r>
      <w:r w:rsidRPr="00777F73">
        <w:rPr>
          <w:rFonts w:cs="David"/>
          <w:rtl/>
        </w:rPr>
        <w:t xml:space="preserve"> </w:t>
      </w:r>
      <w:r w:rsidRPr="00777F73">
        <w:rPr>
          <w:rFonts w:cs="David" w:hint="cs"/>
          <w:b/>
          <w:bCs/>
          <w:rtl/>
        </w:rPr>
        <w:t>סעיף 11</w:t>
      </w:r>
      <w:r>
        <w:rPr>
          <w:rFonts w:cs="David" w:hint="cs"/>
          <w:b/>
          <w:bCs/>
          <w:rtl/>
        </w:rPr>
        <w:t>(א)</w:t>
      </w:r>
      <w:r w:rsidRPr="00777F73">
        <w:rPr>
          <w:rFonts w:cs="David" w:hint="cs"/>
          <w:b/>
          <w:bCs/>
          <w:rtl/>
        </w:rPr>
        <w:t xml:space="preserve"> לחוק הפטנטים</w:t>
      </w:r>
      <w:r w:rsidRPr="00777F73">
        <w:rPr>
          <w:rFonts w:cs="David" w:hint="cs"/>
          <w:rtl/>
        </w:rPr>
        <w:t xml:space="preserve"> </w:t>
      </w:r>
      <w:r w:rsidRPr="00777F73">
        <w:rPr>
          <w:rFonts w:cs="David"/>
          <w:rtl/>
        </w:rPr>
        <w:t>–</w:t>
      </w:r>
      <w:r w:rsidRPr="00777F73">
        <w:rPr>
          <w:rFonts w:cs="David" w:hint="cs"/>
          <w:rtl/>
        </w:rPr>
        <w:t xml:space="preserve"> הגשת בקשה לפטנט: "</w:t>
      </w:r>
      <w:r>
        <w:rPr>
          <w:rFonts w:cs="David" w:hint="cs"/>
          <w:rtl/>
        </w:rPr>
        <w:t xml:space="preserve"> </w:t>
      </w:r>
      <w:r w:rsidRPr="00777F73">
        <w:rPr>
          <w:rFonts w:cs="David"/>
          <w:rtl/>
        </w:rPr>
        <w:t>(א</w:t>
      </w:r>
      <w:r w:rsidRPr="00777F73">
        <w:rPr>
          <w:rFonts w:cs="David" w:hint="cs"/>
          <w:rtl/>
        </w:rPr>
        <w:t>)</w:t>
      </w:r>
      <w:r>
        <w:rPr>
          <w:rFonts w:cs="David" w:hint="cs"/>
          <w:rtl/>
        </w:rPr>
        <w:t xml:space="preserve"> </w:t>
      </w:r>
      <w:r w:rsidRPr="00777F73">
        <w:rPr>
          <w:rFonts w:cs="David"/>
          <w:rtl/>
        </w:rPr>
        <w:t>ב</w:t>
      </w:r>
      <w:r w:rsidRPr="00777F73">
        <w:rPr>
          <w:rFonts w:cs="David" w:hint="cs"/>
          <w:rtl/>
        </w:rPr>
        <w:t>קשת פטנט תוגש לרשות בדרך ובצורה שנקבעו ובצירוף האגרה שנקבעה, למעט אגרה בעד פרסום; הבקשה תכלול את שם המבקש, מען למסירת מסמכים בישראל ופירוט האמצא</w:t>
      </w:r>
      <w:r w:rsidRPr="00777F73">
        <w:rPr>
          <w:rFonts w:cs="David"/>
          <w:rtl/>
        </w:rPr>
        <w:t>ה</w:t>
      </w:r>
      <w:r w:rsidRPr="00777F73">
        <w:rPr>
          <w:rFonts w:cs="David" w:hint="cs"/>
          <w:rtl/>
        </w:rPr>
        <w:t xml:space="preserve">; </w:t>
      </w:r>
      <w:r w:rsidRPr="00777F73">
        <w:rPr>
          <w:rFonts w:cs="David" w:hint="cs"/>
          <w:b/>
          <w:bCs/>
          <w:rtl/>
        </w:rPr>
        <w:t>כמו כן יוגש ללשכה עותק של הבקשה על גבי התקן המשמש לאחסון חומר מחשב, כפי שיורה הרשם</w:t>
      </w:r>
      <w:r>
        <w:rPr>
          <w:rFonts w:cs="David" w:hint="cs"/>
          <w:rtl/>
        </w:rPr>
        <w:t>;...</w:t>
      </w:r>
      <w:r w:rsidRPr="00777F73">
        <w:rPr>
          <w:rFonts w:cs="David" w:hint="cs"/>
          <w:rtl/>
        </w:rPr>
        <w:t>".</w:t>
      </w:r>
    </w:p>
  </w:footnote>
  <w:footnote w:id="9">
    <w:p w:rsidR="00CD0895" w:rsidRPr="000A5641" w:rsidRDefault="00CD0895" w:rsidP="000A5641">
      <w:pPr>
        <w:pStyle w:val="a3"/>
        <w:ind w:right="-142"/>
        <w:rPr>
          <w:sz w:val="17"/>
          <w:szCs w:val="17"/>
          <w:rtl/>
        </w:rPr>
      </w:pPr>
      <w:r w:rsidRPr="000A5641">
        <w:rPr>
          <w:rFonts w:cs="David"/>
        </w:rPr>
        <w:footnoteRef/>
      </w:r>
      <w:r w:rsidRPr="000A5641">
        <w:rPr>
          <w:rFonts w:cs="David"/>
          <w:rtl/>
        </w:rPr>
        <w:t xml:space="preserve"> </w:t>
      </w:r>
      <w:r w:rsidRPr="000A5641">
        <w:rPr>
          <w:rFonts w:cs="David" w:hint="cs"/>
          <w:rtl/>
        </w:rPr>
        <w:t xml:space="preserve">פורסם באתר </w:t>
      </w:r>
      <w:r>
        <w:rPr>
          <w:rFonts w:cs="David" w:hint="cs"/>
          <w:rtl/>
        </w:rPr>
        <w:t>הרשות</w:t>
      </w:r>
      <w:r w:rsidRPr="000A5641">
        <w:rPr>
          <w:rFonts w:cs="David" w:hint="cs"/>
          <w:rtl/>
        </w:rPr>
        <w:t xml:space="preserve">: </w:t>
      </w:r>
      <w:hyperlink r:id="rId1" w:history="1">
        <w:r w:rsidRPr="000A5641">
          <w:rPr>
            <w:rStyle w:val="Hyperlink"/>
            <w:rFonts w:cs="David"/>
            <w:sz w:val="17"/>
            <w:szCs w:val="17"/>
          </w:rPr>
          <w:t>http://index.justice.gov.il/Units/RashamHaptentim/legalinfo/notice/hodaatikun1025712.pdf</w:t>
        </w:r>
      </w:hyperlink>
      <w:r w:rsidRPr="000A5641">
        <w:rPr>
          <w:rFonts w:cs="David" w:hint="cs"/>
          <w:sz w:val="17"/>
          <w:szCs w:val="17"/>
          <w:rtl/>
        </w:rPr>
        <w:t>.</w:t>
      </w:r>
      <w:r w:rsidRPr="000A5641">
        <w:rPr>
          <w:rFonts w:hint="cs"/>
          <w:sz w:val="17"/>
          <w:szCs w:val="17"/>
          <w:rtl/>
        </w:rPr>
        <w:t xml:space="preserve"> </w:t>
      </w:r>
    </w:p>
  </w:footnote>
  <w:footnote w:id="10">
    <w:p w:rsidR="00CD0895" w:rsidRDefault="00CD0895" w:rsidP="000A5641">
      <w:pPr>
        <w:pStyle w:val="a3"/>
        <w:jc w:val="both"/>
        <w:rPr>
          <w:rtl/>
        </w:rPr>
      </w:pPr>
      <w:r w:rsidRPr="00574A8D">
        <w:rPr>
          <w:rFonts w:cs="David"/>
        </w:rPr>
        <w:footnoteRef/>
      </w:r>
      <w:r w:rsidRPr="00574A8D">
        <w:rPr>
          <w:rFonts w:cs="David"/>
          <w:rtl/>
        </w:rPr>
        <w:t xml:space="preserve"> </w:t>
      </w:r>
      <w:r w:rsidRPr="00574A8D">
        <w:rPr>
          <w:rFonts w:cs="David" w:hint="cs"/>
          <w:b/>
          <w:bCs/>
          <w:rtl/>
        </w:rPr>
        <w:t>סעיף 71 לפקודת סימני מסחר</w:t>
      </w:r>
      <w:r w:rsidRPr="00574A8D">
        <w:rPr>
          <w:rFonts w:cs="David" w:hint="cs"/>
          <w:rtl/>
        </w:rPr>
        <w:t xml:space="preserve"> </w:t>
      </w:r>
      <w:r w:rsidRPr="00574A8D">
        <w:rPr>
          <w:rFonts w:cs="David"/>
          <w:rtl/>
        </w:rPr>
        <w:t>–</w:t>
      </w:r>
      <w:r w:rsidRPr="00574A8D">
        <w:rPr>
          <w:rFonts w:cs="David" w:hint="cs"/>
          <w:rtl/>
        </w:rPr>
        <w:t xml:space="preserve"> ביצוע ותקנות: </w:t>
      </w:r>
      <w:r>
        <w:rPr>
          <w:rFonts w:cs="David" w:hint="cs"/>
          <w:rtl/>
        </w:rPr>
        <w:t>"</w:t>
      </w:r>
      <w:r w:rsidRPr="00574A8D">
        <w:rPr>
          <w:rFonts w:cs="David" w:hint="cs"/>
          <w:rtl/>
        </w:rPr>
        <w:t xml:space="preserve">(א) </w:t>
      </w:r>
      <w:r w:rsidRPr="00574A8D">
        <w:rPr>
          <w:rFonts w:cs="David"/>
          <w:rtl/>
        </w:rPr>
        <w:t xml:space="preserve">השר ממונה על ביצוע פקודה זו, והוא רשאי להתקין תקנות לביצועה, לרבות </w:t>
      </w:r>
      <w:proofErr w:type="spellStart"/>
      <w:r w:rsidRPr="00574A8D">
        <w:rPr>
          <w:rFonts w:cs="David"/>
          <w:rtl/>
        </w:rPr>
        <w:t>בענינים</w:t>
      </w:r>
      <w:proofErr w:type="spellEnd"/>
      <w:r w:rsidRPr="00574A8D">
        <w:rPr>
          <w:rFonts w:cs="David"/>
          <w:rtl/>
        </w:rPr>
        <w:t xml:space="preserve"> אלה:</w:t>
      </w:r>
      <w:r w:rsidRPr="00574A8D">
        <w:rPr>
          <w:rFonts w:cs="David" w:hint="cs"/>
          <w:rtl/>
        </w:rPr>
        <w:t xml:space="preserve"> (1) </w:t>
      </w:r>
      <w:r w:rsidRPr="00574A8D">
        <w:rPr>
          <w:rFonts w:cs="David"/>
          <w:rtl/>
        </w:rPr>
        <w:t xml:space="preserve">אופן העריכה וההעברה של מסמכים </w:t>
      </w:r>
      <w:r>
        <w:rPr>
          <w:rFonts w:cs="David" w:hint="cs"/>
          <w:rtl/>
        </w:rPr>
        <w:t>...</w:t>
      </w:r>
      <w:r w:rsidRPr="00574A8D">
        <w:rPr>
          <w:rFonts w:cs="David"/>
          <w:rtl/>
        </w:rPr>
        <w:t xml:space="preserve"> ורשאי השר לקבוע הוראות </w:t>
      </w:r>
      <w:proofErr w:type="spellStart"/>
      <w:r w:rsidRPr="00574A8D">
        <w:rPr>
          <w:rFonts w:cs="David"/>
          <w:rtl/>
        </w:rPr>
        <w:t>לענין</w:t>
      </w:r>
      <w:proofErr w:type="spellEnd"/>
      <w:r w:rsidRPr="00574A8D">
        <w:rPr>
          <w:rFonts w:cs="David"/>
          <w:rtl/>
        </w:rPr>
        <w:t xml:space="preserve"> עריכה והעברה של</w:t>
      </w:r>
      <w:r w:rsidRPr="00574A8D">
        <w:rPr>
          <w:rFonts w:cs="David" w:hint="cs"/>
          <w:rtl/>
        </w:rPr>
        <w:t xml:space="preserve"> </w:t>
      </w:r>
      <w:r w:rsidRPr="00E978EF">
        <w:rPr>
          <w:rFonts w:cs="David"/>
          <w:b/>
          <w:bCs/>
          <w:rtl/>
        </w:rPr>
        <w:t>מסמכים אלקטרוניים</w:t>
      </w:r>
      <w:r w:rsidRPr="00574A8D">
        <w:rPr>
          <w:rFonts w:cs="David"/>
          <w:rtl/>
        </w:rPr>
        <w:t xml:space="preserve"> </w:t>
      </w:r>
      <w:proofErr w:type="spellStart"/>
      <w:r w:rsidRPr="00574A8D">
        <w:rPr>
          <w:rFonts w:cs="David"/>
          <w:rtl/>
        </w:rPr>
        <w:t>ולענין</w:t>
      </w:r>
      <w:proofErr w:type="spellEnd"/>
      <w:r w:rsidRPr="00574A8D">
        <w:rPr>
          <w:rFonts w:cs="David"/>
          <w:rtl/>
        </w:rPr>
        <w:t xml:space="preserve"> השימוש בחתימה אלקטרונית</w:t>
      </w:r>
      <w:r w:rsidRPr="00574A8D">
        <w:rPr>
          <w:rFonts w:cs="David" w:hint="cs"/>
          <w:rtl/>
        </w:rPr>
        <w:t xml:space="preserve"> </w:t>
      </w:r>
      <w:r w:rsidRPr="00574A8D">
        <w:rPr>
          <w:rFonts w:cs="David"/>
          <w:rtl/>
        </w:rPr>
        <w:t>מאובטחת או בחתימה אלקטרונית מאושרת ביחס אליהם</w:t>
      </w:r>
      <w:r w:rsidRPr="00574A8D">
        <w:rPr>
          <w:rFonts w:cs="David" w:hint="cs"/>
          <w:rtl/>
        </w:rPr>
        <w:t xml:space="preserve">; ... (5) </w:t>
      </w:r>
      <w:r w:rsidRPr="00574A8D">
        <w:rPr>
          <w:rFonts w:cs="David"/>
          <w:rtl/>
        </w:rPr>
        <w:t xml:space="preserve">אופן שמירת מסמכים שהוגשו לרשם לפי פקודה זו, </w:t>
      </w:r>
      <w:r w:rsidRPr="00E978EF">
        <w:rPr>
          <w:rFonts w:cs="David"/>
          <w:b/>
          <w:bCs/>
          <w:rtl/>
        </w:rPr>
        <w:t>לרבות באמצעים אלקטרוניים</w:t>
      </w:r>
      <w:r w:rsidRPr="00574A8D">
        <w:rPr>
          <w:rFonts w:cs="David"/>
          <w:rtl/>
        </w:rPr>
        <w:t>;</w:t>
      </w:r>
      <w:r w:rsidRPr="00574A8D">
        <w:rPr>
          <w:rFonts w:cs="David" w:hint="cs"/>
          <w:rtl/>
        </w:rPr>
        <w:t xml:space="preserve"> ... (6) </w:t>
      </w:r>
      <w:r w:rsidRPr="00574A8D">
        <w:rPr>
          <w:rFonts w:cs="David"/>
          <w:rtl/>
        </w:rPr>
        <w:t>עיון בפנקס, וכן הפקה והפצה של עותקים מאושרים</w:t>
      </w:r>
      <w:r w:rsidRPr="00574A8D">
        <w:rPr>
          <w:rFonts w:cs="David" w:hint="cs"/>
          <w:rtl/>
        </w:rPr>
        <w:t xml:space="preserve"> </w:t>
      </w:r>
      <w:r w:rsidRPr="00574A8D">
        <w:rPr>
          <w:rFonts w:cs="David"/>
          <w:rtl/>
        </w:rPr>
        <w:t xml:space="preserve">מהרישומים בפנקס </w:t>
      </w:r>
      <w:r w:rsidRPr="00E978EF">
        <w:rPr>
          <w:rFonts w:cs="David"/>
          <w:b/>
          <w:bCs/>
          <w:rtl/>
        </w:rPr>
        <w:t>לרבות באמצעות מסמכים אלקטרוניים</w:t>
      </w:r>
      <w:r w:rsidRPr="00574A8D">
        <w:rPr>
          <w:rFonts w:cs="David" w:hint="cs"/>
          <w:rtl/>
        </w:rPr>
        <w:t>...".</w:t>
      </w:r>
    </w:p>
  </w:footnote>
  <w:footnote w:id="11">
    <w:p w:rsidR="00CD0895" w:rsidRPr="00574A8D" w:rsidRDefault="00CD0895" w:rsidP="00574A8D">
      <w:pPr>
        <w:pStyle w:val="a3"/>
        <w:jc w:val="both"/>
        <w:rPr>
          <w:rFonts w:cs="David"/>
          <w:rtl/>
        </w:rPr>
      </w:pPr>
      <w:r w:rsidRPr="00574A8D">
        <w:rPr>
          <w:rStyle w:val="a5"/>
          <w:rFonts w:cs="David"/>
        </w:rPr>
        <w:footnoteRef/>
      </w:r>
      <w:r w:rsidRPr="00574A8D">
        <w:rPr>
          <w:rFonts w:cs="David"/>
          <w:rtl/>
        </w:rPr>
        <w:t xml:space="preserve"> </w:t>
      </w:r>
      <w:r w:rsidRPr="00574A8D">
        <w:rPr>
          <w:rFonts w:cs="David" w:hint="cs"/>
          <w:b/>
          <w:bCs/>
          <w:rtl/>
        </w:rPr>
        <w:t>סעיף 38 לחוק החברות</w:t>
      </w:r>
      <w:r w:rsidRPr="00574A8D">
        <w:rPr>
          <w:rFonts w:cs="David" w:hint="cs"/>
          <w:rtl/>
        </w:rPr>
        <w:t xml:space="preserve"> </w:t>
      </w:r>
      <w:r w:rsidRPr="00574A8D">
        <w:rPr>
          <w:rFonts w:cs="David"/>
          <w:rtl/>
        </w:rPr>
        <w:t>–</w:t>
      </w:r>
      <w:r w:rsidRPr="00574A8D">
        <w:rPr>
          <w:rFonts w:cs="David" w:hint="cs"/>
          <w:rtl/>
        </w:rPr>
        <w:t xml:space="preserve"> ניהול מרשמים וקבלת מסמכים: </w:t>
      </w:r>
      <w:r>
        <w:rPr>
          <w:rFonts w:cs="David" w:hint="cs"/>
          <w:rtl/>
        </w:rPr>
        <w:t>"</w:t>
      </w:r>
      <w:r w:rsidRPr="00574A8D">
        <w:rPr>
          <w:rFonts w:cs="David" w:hint="cs"/>
          <w:rtl/>
        </w:rPr>
        <w:t>(א) הרש</w:t>
      </w:r>
      <w:r w:rsidRPr="00574A8D">
        <w:rPr>
          <w:rFonts w:cs="David"/>
          <w:rtl/>
        </w:rPr>
        <w:t>ם</w:t>
      </w:r>
      <w:r w:rsidRPr="00574A8D">
        <w:rPr>
          <w:rFonts w:cs="David" w:hint="cs"/>
          <w:rtl/>
        </w:rPr>
        <w:t xml:space="preserve"> ינהל רישום לגבי כל חברה ויקבל מסמכים ודיווחים לרישום א</w:t>
      </w:r>
      <w:r w:rsidRPr="00574A8D">
        <w:rPr>
          <w:rFonts w:cs="David"/>
          <w:rtl/>
        </w:rPr>
        <w:t>ו</w:t>
      </w:r>
      <w:r w:rsidRPr="00574A8D">
        <w:rPr>
          <w:rFonts w:cs="David" w:hint="cs"/>
          <w:rtl/>
        </w:rPr>
        <w:t xml:space="preserve"> </w:t>
      </w:r>
      <w:r w:rsidRPr="00574A8D">
        <w:rPr>
          <w:rFonts w:cs="David"/>
          <w:rtl/>
        </w:rPr>
        <w:t>ל</w:t>
      </w:r>
      <w:r w:rsidRPr="00574A8D">
        <w:rPr>
          <w:rFonts w:cs="David" w:hint="cs"/>
          <w:rtl/>
        </w:rPr>
        <w:t>תיוק בתיקי החברה, הכל כפי שקבע השר. (ב) השר</w:t>
      </w:r>
      <w:r w:rsidRPr="00574A8D">
        <w:rPr>
          <w:rFonts w:cs="David"/>
          <w:rtl/>
        </w:rPr>
        <w:t xml:space="preserve"> </w:t>
      </w:r>
      <w:r w:rsidRPr="00574A8D">
        <w:rPr>
          <w:rFonts w:cs="David" w:hint="cs"/>
          <w:rtl/>
        </w:rPr>
        <w:t xml:space="preserve">רשאי להורות כי מסירת המסמכים והדיווחים, הרישום או התיוק בתיקי החברה </w:t>
      </w:r>
      <w:r w:rsidRPr="00574A8D">
        <w:rPr>
          <w:rFonts w:cs="David" w:hint="cs"/>
          <w:b/>
          <w:bCs/>
          <w:rtl/>
        </w:rPr>
        <w:t>ייעשו בדרך של תקשורת אלקטרונית בלבד</w:t>
      </w:r>
      <w:r>
        <w:rPr>
          <w:rFonts w:cs="David" w:hint="cs"/>
          <w:rtl/>
        </w:rPr>
        <w:t xml:space="preserve">..."; </w:t>
      </w:r>
      <w:r w:rsidRPr="00574A8D">
        <w:rPr>
          <w:rFonts w:cs="David" w:hint="cs"/>
          <w:b/>
          <w:bCs/>
          <w:rtl/>
        </w:rPr>
        <w:t xml:space="preserve">סעיף 44 לחוק החברות </w:t>
      </w:r>
      <w:r>
        <w:rPr>
          <w:rFonts w:cs="David"/>
          <w:rtl/>
        </w:rPr>
        <w:t>–</w:t>
      </w:r>
      <w:r>
        <w:rPr>
          <w:rFonts w:cs="David" w:hint="cs"/>
          <w:rtl/>
        </w:rPr>
        <w:t xml:space="preserve"> תקנות:  </w:t>
      </w:r>
      <w:r w:rsidRPr="00574A8D">
        <w:rPr>
          <w:rFonts w:cs="David"/>
          <w:rtl/>
        </w:rPr>
        <w:t>ה</w:t>
      </w:r>
      <w:r w:rsidRPr="00574A8D">
        <w:rPr>
          <w:rFonts w:cs="David" w:hint="cs"/>
          <w:rtl/>
        </w:rPr>
        <w:t xml:space="preserve">שר </w:t>
      </w:r>
      <w:r w:rsidRPr="00574A8D">
        <w:rPr>
          <w:rFonts w:cs="David"/>
          <w:rtl/>
        </w:rPr>
        <w:t>ר</w:t>
      </w:r>
      <w:r w:rsidRPr="00574A8D">
        <w:rPr>
          <w:rFonts w:cs="David" w:hint="cs"/>
          <w:rtl/>
        </w:rPr>
        <w:t>שאי לקבוע את אלה:</w:t>
      </w:r>
      <w:r>
        <w:rPr>
          <w:rFonts w:cs="David" w:hint="cs"/>
          <w:rtl/>
        </w:rPr>
        <w:t xml:space="preserve"> (1) </w:t>
      </w:r>
      <w:r w:rsidRPr="00574A8D">
        <w:rPr>
          <w:rFonts w:cs="David" w:hint="cs"/>
          <w:rtl/>
        </w:rPr>
        <w:t>סדר</w:t>
      </w:r>
      <w:r w:rsidRPr="00574A8D">
        <w:rPr>
          <w:rFonts w:cs="David"/>
          <w:rtl/>
        </w:rPr>
        <w:t>י</w:t>
      </w:r>
      <w:r w:rsidRPr="00574A8D">
        <w:rPr>
          <w:rFonts w:cs="David" w:hint="cs"/>
          <w:rtl/>
        </w:rPr>
        <w:t xml:space="preserve"> רישום ותיוק וכן אופן הגשת מסמכים ודיווחים לרישום ולתיוק כאמור, הכל </w:t>
      </w:r>
      <w:r w:rsidRPr="00574A8D">
        <w:rPr>
          <w:rFonts w:cs="David" w:hint="cs"/>
          <w:b/>
          <w:bCs/>
          <w:rtl/>
        </w:rPr>
        <w:t>לרבו</w:t>
      </w:r>
      <w:r w:rsidRPr="00574A8D">
        <w:rPr>
          <w:rFonts w:cs="David"/>
          <w:b/>
          <w:bCs/>
          <w:rtl/>
        </w:rPr>
        <w:t>ת</w:t>
      </w:r>
      <w:r w:rsidRPr="00574A8D">
        <w:rPr>
          <w:rFonts w:cs="David" w:hint="cs"/>
          <w:b/>
          <w:bCs/>
          <w:rtl/>
        </w:rPr>
        <w:t xml:space="preserve"> </w:t>
      </w:r>
      <w:r w:rsidRPr="00574A8D">
        <w:rPr>
          <w:rFonts w:cs="David"/>
          <w:b/>
          <w:bCs/>
          <w:rtl/>
        </w:rPr>
        <w:t>ב</w:t>
      </w:r>
      <w:r w:rsidRPr="00574A8D">
        <w:rPr>
          <w:rFonts w:cs="David" w:hint="cs"/>
          <w:b/>
          <w:bCs/>
          <w:rtl/>
        </w:rPr>
        <w:t>תיוק או בדיווח אלקטרוני</w:t>
      </w:r>
      <w:r w:rsidRPr="00574A8D">
        <w:rPr>
          <w:rFonts w:cs="David" w:hint="cs"/>
          <w:rtl/>
        </w:rPr>
        <w:t>;</w:t>
      </w:r>
      <w:r>
        <w:rPr>
          <w:rFonts w:cs="David" w:hint="cs"/>
          <w:rtl/>
        </w:rPr>
        <w:t xml:space="preserve"> (3) </w:t>
      </w:r>
      <w:r w:rsidRPr="00574A8D">
        <w:rPr>
          <w:rFonts w:cs="David" w:hint="cs"/>
          <w:rtl/>
        </w:rPr>
        <w:t>טפס</w:t>
      </w:r>
      <w:r w:rsidRPr="00574A8D">
        <w:rPr>
          <w:rFonts w:cs="David"/>
          <w:rtl/>
        </w:rPr>
        <w:t>י</w:t>
      </w:r>
      <w:r w:rsidRPr="00574A8D">
        <w:rPr>
          <w:rFonts w:cs="David" w:hint="cs"/>
          <w:rtl/>
        </w:rPr>
        <w:t>ם שחובה להשתמש</w:t>
      </w:r>
      <w:r w:rsidRPr="00574A8D">
        <w:rPr>
          <w:rFonts w:cs="David"/>
          <w:rtl/>
        </w:rPr>
        <w:t xml:space="preserve"> </w:t>
      </w:r>
      <w:r w:rsidRPr="00574A8D">
        <w:rPr>
          <w:rFonts w:cs="David" w:hint="cs"/>
          <w:rtl/>
        </w:rPr>
        <w:t>בהם</w:t>
      </w:r>
      <w:r w:rsidRPr="00574A8D">
        <w:rPr>
          <w:rFonts w:cs="David"/>
          <w:rtl/>
        </w:rPr>
        <w:t xml:space="preserve"> </w:t>
      </w:r>
      <w:proofErr w:type="spellStart"/>
      <w:r w:rsidRPr="00574A8D">
        <w:rPr>
          <w:rFonts w:cs="David" w:hint="cs"/>
          <w:rtl/>
        </w:rPr>
        <w:t>לענין</w:t>
      </w:r>
      <w:proofErr w:type="spellEnd"/>
      <w:r w:rsidRPr="00574A8D">
        <w:rPr>
          <w:rFonts w:cs="David" w:hint="cs"/>
          <w:rtl/>
        </w:rPr>
        <w:t xml:space="preserve"> חוק זה והפרטים שיש לכלול בהם, </w:t>
      </w:r>
      <w:r w:rsidRPr="00574A8D">
        <w:rPr>
          <w:rFonts w:cs="David" w:hint="cs"/>
          <w:b/>
          <w:bCs/>
          <w:rtl/>
        </w:rPr>
        <w:t>לרבות אופן העברת המידע בדיווח אלקטרוני</w:t>
      </w:r>
      <w:r w:rsidRPr="00574A8D">
        <w:rPr>
          <w:rFonts w:cs="David" w:hint="cs"/>
          <w:rtl/>
        </w:rPr>
        <w:t>...".</w:t>
      </w:r>
    </w:p>
  </w:footnote>
  <w:footnote w:id="12">
    <w:p w:rsidR="003B088E" w:rsidRPr="002C0510" w:rsidRDefault="003B088E" w:rsidP="002C0510">
      <w:pPr>
        <w:pStyle w:val="a3"/>
        <w:jc w:val="both"/>
        <w:rPr>
          <w:rFonts w:cs="David"/>
        </w:rPr>
      </w:pPr>
      <w:r w:rsidRPr="00215A2F">
        <w:rPr>
          <w:rStyle w:val="a5"/>
          <w:rFonts w:cs="David"/>
        </w:rPr>
        <w:footnoteRef/>
      </w:r>
      <w:r w:rsidRPr="002C0510">
        <w:rPr>
          <w:rFonts w:cs="David"/>
          <w:rtl/>
        </w:rPr>
        <w:t xml:space="preserve"> </w:t>
      </w:r>
      <w:r w:rsidRPr="002C0510">
        <w:rPr>
          <w:rFonts w:cs="David" w:hint="cs"/>
          <w:rtl/>
        </w:rPr>
        <w:t>יובהר</w:t>
      </w:r>
      <w:r w:rsidRPr="002C0510">
        <w:rPr>
          <w:rFonts w:cs="David"/>
          <w:rtl/>
        </w:rPr>
        <w:t xml:space="preserve"> </w:t>
      </w:r>
      <w:r w:rsidRPr="002C0510">
        <w:rPr>
          <w:rFonts w:cs="David" w:hint="cs"/>
          <w:rtl/>
        </w:rPr>
        <w:t>כי</w:t>
      </w:r>
      <w:r w:rsidRPr="002C0510">
        <w:rPr>
          <w:rFonts w:cs="David"/>
          <w:rtl/>
        </w:rPr>
        <w:t xml:space="preserve"> </w:t>
      </w:r>
      <w:r w:rsidRPr="002C0510">
        <w:rPr>
          <w:rFonts w:cs="David" w:hint="cs"/>
          <w:rtl/>
        </w:rPr>
        <w:t>כתבי</w:t>
      </w:r>
      <w:r w:rsidRPr="002C0510">
        <w:rPr>
          <w:rFonts w:cs="David"/>
          <w:rtl/>
        </w:rPr>
        <w:t xml:space="preserve"> </w:t>
      </w:r>
      <w:r w:rsidRPr="002C0510">
        <w:rPr>
          <w:rFonts w:cs="David" w:hint="cs"/>
          <w:rtl/>
        </w:rPr>
        <w:t>הטענות</w:t>
      </w:r>
      <w:r w:rsidRPr="002C0510">
        <w:rPr>
          <w:rFonts w:cs="David"/>
          <w:rtl/>
        </w:rPr>
        <w:t xml:space="preserve"> </w:t>
      </w:r>
      <w:r w:rsidRPr="002C0510">
        <w:rPr>
          <w:rFonts w:cs="David" w:hint="cs"/>
          <w:rtl/>
        </w:rPr>
        <w:t>של</w:t>
      </w:r>
      <w:r w:rsidRPr="002C0510">
        <w:rPr>
          <w:rFonts w:cs="David"/>
          <w:rtl/>
        </w:rPr>
        <w:t xml:space="preserve"> </w:t>
      </w:r>
      <w:r w:rsidRPr="002C0510">
        <w:rPr>
          <w:rFonts w:cs="David" w:hint="cs"/>
          <w:rtl/>
        </w:rPr>
        <w:t>צדדים</w:t>
      </w:r>
      <w:r w:rsidRPr="002C0510">
        <w:rPr>
          <w:rFonts w:cs="David"/>
          <w:rtl/>
        </w:rPr>
        <w:t xml:space="preserve"> </w:t>
      </w:r>
      <w:r w:rsidRPr="002C0510">
        <w:rPr>
          <w:rFonts w:cs="David" w:hint="cs"/>
          <w:rtl/>
        </w:rPr>
        <w:t>להליך</w:t>
      </w:r>
      <w:r w:rsidRPr="002C0510">
        <w:rPr>
          <w:rFonts w:cs="David"/>
          <w:rtl/>
        </w:rPr>
        <w:t xml:space="preserve"> </w:t>
      </w:r>
      <w:r w:rsidRPr="002C0510">
        <w:rPr>
          <w:rFonts w:cs="David" w:hint="cs"/>
          <w:rtl/>
        </w:rPr>
        <w:t>על</w:t>
      </w:r>
      <w:r w:rsidRPr="002C0510">
        <w:rPr>
          <w:rFonts w:cs="David"/>
          <w:rtl/>
        </w:rPr>
        <w:t xml:space="preserve"> </w:t>
      </w:r>
      <w:r w:rsidRPr="002C0510">
        <w:rPr>
          <w:rFonts w:cs="David" w:hint="cs"/>
          <w:rtl/>
        </w:rPr>
        <w:t>ריב</w:t>
      </w:r>
      <w:r w:rsidRPr="002C0510">
        <w:rPr>
          <w:rFonts w:cs="David"/>
          <w:rtl/>
        </w:rPr>
        <w:t xml:space="preserve"> </w:t>
      </w:r>
      <w:r w:rsidRPr="002C0510">
        <w:rPr>
          <w:rFonts w:cs="David" w:hint="cs"/>
          <w:rtl/>
        </w:rPr>
        <w:t>מפורסמים</w:t>
      </w:r>
      <w:r w:rsidRPr="002C0510">
        <w:rPr>
          <w:rFonts w:cs="David"/>
          <w:rtl/>
        </w:rPr>
        <w:t xml:space="preserve"> </w:t>
      </w:r>
      <w:r w:rsidRPr="002C0510">
        <w:rPr>
          <w:rFonts w:cs="David" w:hint="cs"/>
          <w:rtl/>
        </w:rPr>
        <w:t>באתר</w:t>
      </w:r>
      <w:r w:rsidRPr="002C0510">
        <w:rPr>
          <w:rFonts w:cs="David"/>
          <w:rtl/>
        </w:rPr>
        <w:t xml:space="preserve"> </w:t>
      </w:r>
      <w:r w:rsidRPr="002C0510">
        <w:rPr>
          <w:rFonts w:cs="David" w:hint="cs"/>
          <w:rtl/>
        </w:rPr>
        <w:t>האינטרנט</w:t>
      </w:r>
      <w:r w:rsidRPr="002C0510">
        <w:rPr>
          <w:rFonts w:cs="David"/>
          <w:rtl/>
        </w:rPr>
        <w:t xml:space="preserve"> </w:t>
      </w:r>
      <w:r w:rsidRPr="002C0510">
        <w:rPr>
          <w:rFonts w:cs="David" w:hint="cs"/>
          <w:rtl/>
        </w:rPr>
        <w:t>של</w:t>
      </w:r>
      <w:r w:rsidRPr="002C0510">
        <w:rPr>
          <w:rFonts w:cs="David"/>
          <w:rtl/>
        </w:rPr>
        <w:t xml:space="preserve"> </w:t>
      </w:r>
      <w:r w:rsidRPr="002C0510">
        <w:rPr>
          <w:rFonts w:cs="David" w:hint="cs"/>
          <w:rtl/>
        </w:rPr>
        <w:t>הרשות</w:t>
      </w:r>
      <w:r w:rsidRPr="002C0510">
        <w:rPr>
          <w:rFonts w:cs="David"/>
          <w:rtl/>
        </w:rPr>
        <w:t xml:space="preserve">. </w:t>
      </w:r>
      <w:r w:rsidRPr="002C0510">
        <w:rPr>
          <w:rFonts w:cs="David" w:hint="cs"/>
          <w:rtl/>
        </w:rPr>
        <w:t>על</w:t>
      </w:r>
      <w:r w:rsidRPr="002C0510">
        <w:rPr>
          <w:rFonts w:cs="David"/>
          <w:rtl/>
        </w:rPr>
        <w:t xml:space="preserve"> </w:t>
      </w:r>
      <w:r w:rsidRPr="002C0510">
        <w:rPr>
          <w:rFonts w:cs="David" w:hint="cs"/>
          <w:rtl/>
        </w:rPr>
        <w:t>כן</w:t>
      </w:r>
      <w:r w:rsidRPr="002C0510">
        <w:rPr>
          <w:rFonts w:cs="David"/>
          <w:rtl/>
        </w:rPr>
        <w:t xml:space="preserve">, </w:t>
      </w:r>
      <w:r w:rsidRPr="002C0510">
        <w:rPr>
          <w:rFonts w:cs="David" w:hint="cs"/>
          <w:rtl/>
        </w:rPr>
        <w:t>ככל</w:t>
      </w:r>
      <w:r w:rsidRPr="002C0510">
        <w:rPr>
          <w:rFonts w:cs="David"/>
          <w:rtl/>
        </w:rPr>
        <w:t xml:space="preserve"> </w:t>
      </w:r>
      <w:r w:rsidRPr="002C0510">
        <w:rPr>
          <w:rFonts w:cs="David" w:hint="cs"/>
          <w:rtl/>
        </w:rPr>
        <w:t>שצד</w:t>
      </w:r>
      <w:r w:rsidRPr="002C0510">
        <w:rPr>
          <w:rFonts w:cs="David"/>
          <w:rtl/>
        </w:rPr>
        <w:t xml:space="preserve"> </w:t>
      </w:r>
      <w:r w:rsidRPr="002C0510">
        <w:rPr>
          <w:rFonts w:cs="David" w:hint="cs"/>
          <w:rtl/>
        </w:rPr>
        <w:t>להליך</w:t>
      </w:r>
      <w:r w:rsidRPr="002C0510">
        <w:rPr>
          <w:rFonts w:cs="David"/>
          <w:rtl/>
        </w:rPr>
        <w:t xml:space="preserve"> </w:t>
      </w:r>
      <w:r w:rsidRPr="002C0510">
        <w:rPr>
          <w:rFonts w:cs="David" w:hint="cs"/>
          <w:rtl/>
        </w:rPr>
        <w:t>מציין</w:t>
      </w:r>
      <w:r w:rsidRPr="002C0510">
        <w:rPr>
          <w:rFonts w:cs="David"/>
          <w:rtl/>
        </w:rPr>
        <w:t xml:space="preserve"> </w:t>
      </w:r>
      <w:r w:rsidRPr="002C0510">
        <w:rPr>
          <w:rFonts w:cs="David" w:hint="cs"/>
          <w:rtl/>
        </w:rPr>
        <w:t>כתובת</w:t>
      </w:r>
      <w:r w:rsidRPr="002C0510">
        <w:rPr>
          <w:rFonts w:cs="David"/>
          <w:rtl/>
        </w:rPr>
        <w:t xml:space="preserve"> </w:t>
      </w:r>
      <w:r w:rsidRPr="002C0510">
        <w:rPr>
          <w:rFonts w:cs="David" w:hint="cs"/>
          <w:rtl/>
        </w:rPr>
        <w:t>דוא</w:t>
      </w:r>
      <w:r w:rsidRPr="002C0510">
        <w:rPr>
          <w:rFonts w:cs="David"/>
          <w:rtl/>
        </w:rPr>
        <w:t>"</w:t>
      </w:r>
      <w:r w:rsidRPr="002C0510">
        <w:rPr>
          <w:rFonts w:cs="David" w:hint="cs"/>
          <w:rtl/>
        </w:rPr>
        <w:t>ל</w:t>
      </w:r>
      <w:r w:rsidRPr="002C0510">
        <w:rPr>
          <w:rFonts w:cs="David"/>
          <w:rtl/>
        </w:rPr>
        <w:t xml:space="preserve"> </w:t>
      </w:r>
      <w:r w:rsidRPr="002C0510">
        <w:rPr>
          <w:rFonts w:cs="David" w:hint="cs"/>
          <w:rtl/>
        </w:rPr>
        <w:t>בכתב</w:t>
      </w:r>
      <w:r w:rsidRPr="002C0510">
        <w:rPr>
          <w:rFonts w:cs="David"/>
          <w:rtl/>
        </w:rPr>
        <w:t xml:space="preserve"> </w:t>
      </w:r>
      <w:r w:rsidRPr="002C0510">
        <w:rPr>
          <w:rFonts w:cs="David" w:hint="cs"/>
          <w:rtl/>
        </w:rPr>
        <w:t>הטענות</w:t>
      </w:r>
      <w:r w:rsidRPr="002C0510">
        <w:rPr>
          <w:rFonts w:cs="David"/>
          <w:rtl/>
        </w:rPr>
        <w:t xml:space="preserve">, </w:t>
      </w:r>
      <w:r w:rsidRPr="002C0510">
        <w:rPr>
          <w:rFonts w:cs="David" w:hint="cs"/>
          <w:rtl/>
        </w:rPr>
        <w:t>הרי</w:t>
      </w:r>
      <w:r w:rsidRPr="002C0510">
        <w:rPr>
          <w:rFonts w:cs="David"/>
          <w:rtl/>
        </w:rPr>
        <w:t xml:space="preserve"> </w:t>
      </w:r>
      <w:r w:rsidRPr="002C0510">
        <w:rPr>
          <w:rFonts w:cs="David" w:hint="cs"/>
          <w:rtl/>
        </w:rPr>
        <w:t>שיינתן</w:t>
      </w:r>
      <w:r w:rsidRPr="002C0510">
        <w:rPr>
          <w:rFonts w:cs="David"/>
          <w:rtl/>
        </w:rPr>
        <w:t xml:space="preserve"> </w:t>
      </w:r>
      <w:r w:rsidRPr="002C0510">
        <w:rPr>
          <w:rFonts w:cs="David" w:hint="cs"/>
          <w:rtl/>
        </w:rPr>
        <w:t>לכך</w:t>
      </w:r>
      <w:r w:rsidRPr="002C0510">
        <w:rPr>
          <w:rFonts w:cs="David"/>
          <w:rtl/>
        </w:rPr>
        <w:t xml:space="preserve"> </w:t>
      </w:r>
      <w:r w:rsidRPr="002C0510">
        <w:rPr>
          <w:rFonts w:cs="David" w:hint="cs"/>
          <w:rtl/>
        </w:rPr>
        <w:t>פרסום</w:t>
      </w:r>
      <w:r w:rsidRPr="002C0510">
        <w:rPr>
          <w:rFonts w:cs="David"/>
          <w:rtl/>
        </w:rPr>
        <w:t>.</w:t>
      </w:r>
    </w:p>
  </w:footnote>
  <w:footnote w:id="13">
    <w:p w:rsidR="00CD0895" w:rsidRPr="00F50A31" w:rsidRDefault="00CD0895" w:rsidP="00F50A31">
      <w:pPr>
        <w:pStyle w:val="a3"/>
        <w:jc w:val="both"/>
        <w:rPr>
          <w:rFonts w:cs="David"/>
        </w:rPr>
      </w:pPr>
      <w:r w:rsidRPr="00F50A31">
        <w:rPr>
          <w:rStyle w:val="a5"/>
          <w:rFonts w:cs="David"/>
        </w:rPr>
        <w:footnoteRef/>
      </w:r>
      <w:r w:rsidRPr="00F50A31">
        <w:rPr>
          <w:rFonts w:cs="David"/>
          <w:rtl/>
        </w:rPr>
        <w:t xml:space="preserve"> </w:t>
      </w:r>
      <w:r w:rsidRPr="00F50A31">
        <w:rPr>
          <w:rFonts w:cs="David" w:hint="cs"/>
          <w:b/>
          <w:bCs/>
          <w:rtl/>
        </w:rPr>
        <w:t>סעיף 12 לחוק</w:t>
      </w:r>
      <w:r>
        <w:rPr>
          <w:rFonts w:cs="David" w:hint="cs"/>
          <w:b/>
          <w:bCs/>
          <w:rtl/>
        </w:rPr>
        <w:t xml:space="preserve"> </w:t>
      </w:r>
      <w:r w:rsidRPr="00F50A31">
        <w:rPr>
          <w:rFonts w:cs="David"/>
          <w:rtl/>
        </w:rPr>
        <w:t>–</w:t>
      </w:r>
      <w:r w:rsidRPr="00F50A31">
        <w:rPr>
          <w:rFonts w:cs="David" w:hint="cs"/>
          <w:rtl/>
        </w:rPr>
        <w:t xml:space="preserve"> הפירוט: </w:t>
      </w:r>
      <w:r>
        <w:rPr>
          <w:rStyle w:val="default"/>
          <w:rFonts w:cs="David" w:hint="cs"/>
          <w:sz w:val="20"/>
          <w:szCs w:val="20"/>
          <w:rtl/>
        </w:rPr>
        <w:t>"</w:t>
      </w:r>
      <w:r w:rsidRPr="00F50A31">
        <w:rPr>
          <w:rStyle w:val="default"/>
          <w:rFonts w:cs="David"/>
          <w:sz w:val="20"/>
          <w:szCs w:val="20"/>
          <w:rtl/>
        </w:rPr>
        <w:t>(א</w:t>
      </w:r>
      <w:r w:rsidRPr="00F50A31">
        <w:rPr>
          <w:rStyle w:val="default"/>
          <w:rFonts w:cs="David" w:hint="cs"/>
          <w:sz w:val="20"/>
          <w:szCs w:val="20"/>
          <w:rtl/>
        </w:rPr>
        <w:t>)</w:t>
      </w:r>
      <w:r>
        <w:rPr>
          <w:rStyle w:val="default"/>
          <w:rFonts w:cs="David" w:hint="cs"/>
          <w:sz w:val="20"/>
          <w:szCs w:val="20"/>
          <w:rtl/>
        </w:rPr>
        <w:t xml:space="preserve"> </w:t>
      </w:r>
      <w:r w:rsidRPr="00F50A31">
        <w:rPr>
          <w:rStyle w:val="default"/>
          <w:rFonts w:cs="David"/>
          <w:sz w:val="20"/>
          <w:szCs w:val="20"/>
          <w:rtl/>
        </w:rPr>
        <w:t>ה</w:t>
      </w:r>
      <w:r w:rsidRPr="00F50A31">
        <w:rPr>
          <w:rStyle w:val="default"/>
          <w:rFonts w:cs="David" w:hint="cs"/>
          <w:sz w:val="20"/>
          <w:szCs w:val="20"/>
          <w:rtl/>
        </w:rPr>
        <w:t>פירוט יכלול שם שיש בו כדי לזהות את האמצאה, את תיאורה, עם שרטוטים לפי הצורך, וכן תיאור דרכי הביצוע של האמצאה שעל פיו יוכל בעל המקצוע לבצעה</w:t>
      </w:r>
      <w:r>
        <w:rPr>
          <w:rStyle w:val="default"/>
          <w:rFonts w:cs="David" w:hint="cs"/>
          <w:sz w:val="20"/>
          <w:szCs w:val="20"/>
          <w:rtl/>
        </w:rPr>
        <w:t>"</w:t>
      </w:r>
      <w:r w:rsidRPr="00F50A31">
        <w:rPr>
          <w:rStyle w:val="default"/>
          <w:rFonts w:cs="David" w:hint="cs"/>
          <w:sz w:val="20"/>
          <w:szCs w:val="20"/>
          <w:rtl/>
        </w:rPr>
        <w:t>.</w:t>
      </w:r>
    </w:p>
  </w:footnote>
  <w:footnote w:id="14">
    <w:p w:rsidR="00CD0895" w:rsidRPr="000A5641" w:rsidRDefault="00CD0895">
      <w:pPr>
        <w:pStyle w:val="a3"/>
        <w:rPr>
          <w:rFonts w:cs="David"/>
        </w:rPr>
      </w:pPr>
      <w:r w:rsidRPr="000A5641">
        <w:rPr>
          <w:rStyle w:val="a5"/>
          <w:rFonts w:cs="David"/>
        </w:rPr>
        <w:footnoteRef/>
      </w:r>
      <w:r w:rsidRPr="000A5641">
        <w:rPr>
          <w:rStyle w:val="a5"/>
          <w:rFonts w:cs="David"/>
          <w:rtl/>
        </w:rPr>
        <w:t xml:space="preserve"> </w:t>
      </w:r>
      <w:r w:rsidRPr="000A5641">
        <w:rPr>
          <w:rStyle w:val="default"/>
          <w:rFonts w:cs="David" w:hint="cs"/>
          <w:b/>
          <w:bCs/>
          <w:sz w:val="20"/>
          <w:szCs w:val="20"/>
          <w:rtl/>
        </w:rPr>
        <w:t>סעיף 13 לחוק</w:t>
      </w:r>
      <w:r w:rsidRPr="000A5641">
        <w:rPr>
          <w:rStyle w:val="default"/>
          <w:rFonts w:cs="David" w:hint="cs"/>
          <w:sz w:val="20"/>
          <w:szCs w:val="20"/>
          <w:rtl/>
        </w:rPr>
        <w:t xml:space="preserve"> – התביעות: "</w:t>
      </w:r>
      <w:r w:rsidRPr="000A5641">
        <w:rPr>
          <w:rStyle w:val="default"/>
          <w:rFonts w:cs="David"/>
          <w:sz w:val="20"/>
          <w:szCs w:val="20"/>
          <w:rtl/>
        </w:rPr>
        <w:t>(א</w:t>
      </w:r>
      <w:r w:rsidRPr="000A5641">
        <w:rPr>
          <w:rStyle w:val="default"/>
          <w:rFonts w:cs="David" w:hint="cs"/>
          <w:sz w:val="20"/>
          <w:szCs w:val="20"/>
          <w:rtl/>
        </w:rPr>
        <w:t xml:space="preserve">) </w:t>
      </w:r>
      <w:r w:rsidRPr="000A5641">
        <w:rPr>
          <w:rStyle w:val="default"/>
          <w:rFonts w:cs="David"/>
          <w:sz w:val="20"/>
          <w:szCs w:val="20"/>
          <w:rtl/>
        </w:rPr>
        <w:t>ה</w:t>
      </w:r>
      <w:r w:rsidRPr="000A5641">
        <w:rPr>
          <w:rStyle w:val="default"/>
          <w:rFonts w:cs="David" w:hint="cs"/>
          <w:sz w:val="20"/>
          <w:szCs w:val="20"/>
          <w:rtl/>
        </w:rPr>
        <w:t xml:space="preserve">פירוט יסתיים בתביעה או בתביעות המגדירות את האמצאה, ובלבד שכל תביעה כאמור תהא </w:t>
      </w:r>
      <w:r w:rsidRPr="000A5641">
        <w:rPr>
          <w:rStyle w:val="default"/>
          <w:rFonts w:cs="David"/>
          <w:sz w:val="20"/>
          <w:szCs w:val="20"/>
          <w:rtl/>
        </w:rPr>
        <w:t>נ</w:t>
      </w:r>
      <w:r w:rsidRPr="000A5641">
        <w:rPr>
          <w:rStyle w:val="default"/>
          <w:rFonts w:cs="David" w:hint="cs"/>
          <w:sz w:val="20"/>
          <w:szCs w:val="20"/>
          <w:rtl/>
        </w:rPr>
        <w:t>ובעת באופן סביר מהמתואר בפירוט".</w:t>
      </w:r>
    </w:p>
  </w:footnote>
  <w:footnote w:id="15">
    <w:p w:rsidR="00CD0895" w:rsidRPr="007F46E6" w:rsidRDefault="00CD0895" w:rsidP="00C62AB8">
      <w:pPr>
        <w:pStyle w:val="a3"/>
        <w:jc w:val="both"/>
        <w:rPr>
          <w:rFonts w:cs="David"/>
          <w:rtl/>
        </w:rPr>
      </w:pPr>
      <w:r w:rsidRPr="007F46E6">
        <w:rPr>
          <w:rStyle w:val="a5"/>
          <w:rFonts w:cs="David"/>
        </w:rPr>
        <w:footnoteRef/>
      </w:r>
      <w:r w:rsidRPr="007F46E6">
        <w:rPr>
          <w:rFonts w:cs="David"/>
          <w:rtl/>
        </w:rPr>
        <w:t xml:space="preserve"> </w:t>
      </w:r>
      <w:proofErr w:type="spellStart"/>
      <w:r w:rsidRPr="007F46E6">
        <w:rPr>
          <w:rFonts w:cs="David" w:hint="cs"/>
          <w:rtl/>
        </w:rPr>
        <w:t>ה"ח</w:t>
      </w:r>
      <w:proofErr w:type="spellEnd"/>
      <w:r w:rsidRPr="007F46E6">
        <w:rPr>
          <w:rFonts w:cs="David" w:hint="cs"/>
          <w:rtl/>
        </w:rPr>
        <w:t xml:space="preserve"> </w:t>
      </w:r>
      <w:proofErr w:type="spellStart"/>
      <w:r w:rsidRPr="007F46E6">
        <w:rPr>
          <w:rFonts w:cs="David" w:hint="cs"/>
          <w:rtl/>
        </w:rPr>
        <w:t>התשס"ו</w:t>
      </w:r>
      <w:proofErr w:type="spellEnd"/>
      <w:r w:rsidRPr="007F46E6">
        <w:rPr>
          <w:rFonts w:cs="David" w:hint="cs"/>
          <w:rtl/>
        </w:rPr>
        <w:t>, עמ' 248 (מיום 26.1.2006).</w:t>
      </w:r>
    </w:p>
  </w:footnote>
  <w:footnote w:id="16">
    <w:p w:rsidR="00CD0895" w:rsidRPr="00947792" w:rsidRDefault="00CD0895" w:rsidP="00947792">
      <w:pPr>
        <w:pStyle w:val="a3"/>
        <w:jc w:val="both"/>
        <w:rPr>
          <w:rFonts w:cs="David"/>
          <w:rtl/>
        </w:rPr>
      </w:pPr>
      <w:r w:rsidRPr="00947792">
        <w:rPr>
          <w:rStyle w:val="a5"/>
          <w:rFonts w:cs="David"/>
        </w:rPr>
        <w:footnoteRef/>
      </w:r>
      <w:r w:rsidRPr="00947792">
        <w:rPr>
          <w:rFonts w:cs="David"/>
          <w:rtl/>
        </w:rPr>
        <w:t xml:space="preserve"> </w:t>
      </w:r>
      <w:r w:rsidRPr="00947792">
        <w:rPr>
          <w:rFonts w:cs="David" w:hint="cs"/>
          <w:b/>
          <w:bCs/>
          <w:rtl/>
        </w:rPr>
        <w:t xml:space="preserve">תקנה 397 לתקנות </w:t>
      </w:r>
      <w:proofErr w:type="spellStart"/>
      <w:r w:rsidRPr="00947792">
        <w:rPr>
          <w:rFonts w:cs="David" w:hint="cs"/>
          <w:b/>
          <w:bCs/>
          <w:rtl/>
        </w:rPr>
        <w:t>סד"א</w:t>
      </w:r>
      <w:proofErr w:type="spellEnd"/>
      <w:r w:rsidRPr="00947792">
        <w:rPr>
          <w:rFonts w:cs="David" w:hint="cs"/>
          <w:rtl/>
        </w:rPr>
        <w:t xml:space="preserve"> </w:t>
      </w:r>
      <w:r w:rsidRPr="00947792">
        <w:rPr>
          <w:rFonts w:cs="David"/>
          <w:rtl/>
        </w:rPr>
        <w:t>–</w:t>
      </w:r>
      <w:r w:rsidRPr="00947792">
        <w:rPr>
          <w:rFonts w:cs="David" w:hint="cs"/>
          <w:rtl/>
        </w:rPr>
        <w:t xml:space="preserve"> המועד להגשת ערעור בזכות: </w:t>
      </w:r>
      <w:r w:rsidRPr="00947792">
        <w:rPr>
          <w:rStyle w:val="default"/>
          <w:rFonts w:cs="David" w:hint="cs"/>
          <w:sz w:val="20"/>
          <w:szCs w:val="20"/>
          <w:rtl/>
        </w:rPr>
        <w:t>"</w:t>
      </w:r>
      <w:r w:rsidRPr="00947792">
        <w:rPr>
          <w:rStyle w:val="default"/>
          <w:rFonts w:cs="David"/>
          <w:sz w:val="20"/>
          <w:szCs w:val="20"/>
          <w:rtl/>
        </w:rPr>
        <w:t>מועד</w:t>
      </w:r>
      <w:r w:rsidRPr="00947792">
        <w:rPr>
          <w:rStyle w:val="default"/>
          <w:rFonts w:cs="David" w:hint="cs"/>
          <w:sz w:val="20"/>
          <w:szCs w:val="20"/>
          <w:rtl/>
        </w:rPr>
        <w:t xml:space="preserve"> להגשת ערעור בזכות על החלטה של בית משפט הוא ארבעים וחמישה ימי</w:t>
      </w:r>
      <w:r w:rsidRPr="00947792">
        <w:rPr>
          <w:rStyle w:val="default"/>
          <w:rFonts w:cs="David"/>
          <w:sz w:val="20"/>
          <w:szCs w:val="20"/>
          <w:rtl/>
        </w:rPr>
        <w:t>ם</w:t>
      </w:r>
      <w:r w:rsidRPr="00947792">
        <w:rPr>
          <w:rStyle w:val="default"/>
          <w:rFonts w:cs="David" w:hint="cs"/>
          <w:sz w:val="20"/>
          <w:szCs w:val="20"/>
          <w:rtl/>
        </w:rPr>
        <w:t xml:space="preserve"> </w:t>
      </w:r>
      <w:r w:rsidRPr="00947792">
        <w:rPr>
          <w:rStyle w:val="default"/>
          <w:rFonts w:cs="David"/>
          <w:sz w:val="20"/>
          <w:szCs w:val="20"/>
          <w:rtl/>
        </w:rPr>
        <w:t>מ</w:t>
      </w:r>
      <w:r w:rsidRPr="00947792">
        <w:rPr>
          <w:rStyle w:val="default"/>
          <w:rFonts w:cs="David" w:hint="cs"/>
          <w:sz w:val="20"/>
          <w:szCs w:val="20"/>
          <w:rtl/>
        </w:rPr>
        <w:t>יום מתן ההחלטה, והוא כשאין הוראת חיקוק אחרת הקובעת מועד להגשת ערעור</w:t>
      </w:r>
      <w:r w:rsidRPr="00947792">
        <w:rPr>
          <w:rFonts w:cs="David"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85" w:rsidRDefault="007C2E85" w:rsidP="007C2E85">
    <w:pPr>
      <w:pStyle w:val="a7"/>
      <w:tabs>
        <w:tab w:val="left" w:pos="7026"/>
      </w:tabs>
      <w:jc w:val="right"/>
    </w:pPr>
    <w:r w:rsidRPr="00B357F5">
      <w:rPr>
        <w:rFonts w:cs="David" w:hint="cs"/>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85" w:rsidRPr="00B357F5" w:rsidRDefault="007C2E85" w:rsidP="007C2E85">
    <w:pPr>
      <w:pStyle w:val="a7"/>
      <w:tabs>
        <w:tab w:val="left" w:pos="7026"/>
      </w:tabs>
      <w:jc w:val="right"/>
      <w:rPr>
        <w:rFonts w:cs="David"/>
        <w:rtl/>
      </w:rPr>
    </w:pPr>
    <w:r w:rsidRPr="00B357F5">
      <w:rPr>
        <w:rFonts w:cs="David" w:hint="cs"/>
        <w:rtl/>
      </w:rPr>
      <w:t>י</w:t>
    </w:r>
    <w:r w:rsidRPr="00B357F5">
      <w:rPr>
        <w:rFonts w:cs="David"/>
        <w:rtl/>
      </w:rPr>
      <w:t>"</w:t>
    </w:r>
    <w:r w:rsidRPr="00B357F5">
      <w:rPr>
        <w:rFonts w:cs="David" w:hint="cs"/>
        <w:rtl/>
      </w:rPr>
      <w:t>ז</w:t>
    </w:r>
    <w:r w:rsidRPr="00B357F5">
      <w:rPr>
        <w:rFonts w:cs="David"/>
        <w:rtl/>
      </w:rPr>
      <w:t xml:space="preserve"> </w:t>
    </w:r>
    <w:r w:rsidRPr="00B357F5">
      <w:rPr>
        <w:rFonts w:cs="David" w:hint="cs"/>
        <w:rtl/>
      </w:rPr>
      <w:t>באב</w:t>
    </w:r>
    <w:r w:rsidRPr="00B357F5">
      <w:rPr>
        <w:rFonts w:cs="David"/>
        <w:rtl/>
      </w:rPr>
      <w:t xml:space="preserve"> </w:t>
    </w:r>
    <w:r w:rsidRPr="00B357F5">
      <w:rPr>
        <w:rFonts w:cs="David" w:hint="cs"/>
        <w:rtl/>
      </w:rPr>
      <w:t>תשע</w:t>
    </w:r>
    <w:r w:rsidRPr="00B357F5">
      <w:rPr>
        <w:rFonts w:cs="David"/>
        <w:rtl/>
      </w:rPr>
      <w:t>"</w:t>
    </w:r>
    <w:r w:rsidRPr="00B357F5">
      <w:rPr>
        <w:rFonts w:cs="David" w:hint="cs"/>
        <w:rtl/>
      </w:rPr>
      <w:t>ה</w:t>
    </w:r>
  </w:p>
  <w:p w:rsidR="007C2E85" w:rsidRPr="007C2E85" w:rsidRDefault="007C2E85" w:rsidP="007C2E85">
    <w:pPr>
      <w:pStyle w:val="a7"/>
      <w:jc w:val="right"/>
    </w:pPr>
    <w:r w:rsidRPr="00B357F5">
      <w:rPr>
        <w:rFonts w:cs="David" w:hint="cs"/>
        <w:rtl/>
      </w:rPr>
      <w:t>‏</w:t>
    </w:r>
    <w:r w:rsidRPr="00B357F5">
      <w:rPr>
        <w:rFonts w:cs="David"/>
        <w:rtl/>
      </w:rPr>
      <w:t xml:space="preserve">02 </w:t>
    </w:r>
    <w:r w:rsidRPr="00B357F5">
      <w:rPr>
        <w:rFonts w:cs="David" w:hint="cs"/>
        <w:rtl/>
      </w:rPr>
      <w:t>באוגוסט</w:t>
    </w:r>
    <w:r w:rsidRPr="00B357F5">
      <w:rPr>
        <w:rFonts w:cs="David"/>
        <w:rtl/>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575"/>
    <w:multiLevelType w:val="hybridMultilevel"/>
    <w:tmpl w:val="B2E0DA08"/>
    <w:lvl w:ilvl="0" w:tplc="F8E40932">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D57CD"/>
    <w:multiLevelType w:val="hybridMultilevel"/>
    <w:tmpl w:val="10AC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25C9D"/>
    <w:multiLevelType w:val="hybridMultilevel"/>
    <w:tmpl w:val="7324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810D6A"/>
    <w:multiLevelType w:val="hybridMultilevel"/>
    <w:tmpl w:val="958ED6A4"/>
    <w:lvl w:ilvl="0" w:tplc="5E963F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C144B"/>
    <w:multiLevelType w:val="hybridMultilevel"/>
    <w:tmpl w:val="FFE81D24"/>
    <w:lvl w:ilvl="0" w:tplc="D7963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D6A95"/>
    <w:multiLevelType w:val="hybridMultilevel"/>
    <w:tmpl w:val="6984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76625"/>
    <w:multiLevelType w:val="hybridMultilevel"/>
    <w:tmpl w:val="D6C29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65B91"/>
    <w:multiLevelType w:val="hybridMultilevel"/>
    <w:tmpl w:val="7FF8CFB0"/>
    <w:lvl w:ilvl="0" w:tplc="0409000F">
      <w:start w:val="1"/>
      <w:numFmt w:val="decimal"/>
      <w:lvlText w:val="%1."/>
      <w:lvlJc w:val="left"/>
      <w:pPr>
        <w:ind w:left="720" w:hanging="360"/>
      </w:pPr>
    </w:lvl>
    <w:lvl w:ilvl="1" w:tplc="193ECC5A">
      <w:start w:val="1"/>
      <w:numFmt w:val="hebrew1"/>
      <w:lvlText w:val="%2."/>
      <w:lvlJc w:val="center"/>
      <w:pPr>
        <w:ind w:left="1440" w:hanging="360"/>
      </w:pPr>
      <w:rPr>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6570E9"/>
    <w:multiLevelType w:val="hybridMultilevel"/>
    <w:tmpl w:val="13C4A21A"/>
    <w:lvl w:ilvl="0" w:tplc="57EEAE24">
      <w:start w:val="1"/>
      <w:numFmt w:val="hebrew1"/>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1D3A6B"/>
    <w:multiLevelType w:val="hybridMultilevel"/>
    <w:tmpl w:val="7E7CC396"/>
    <w:lvl w:ilvl="0" w:tplc="92929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A2CE6"/>
    <w:multiLevelType w:val="hybridMultilevel"/>
    <w:tmpl w:val="963AD4B6"/>
    <w:lvl w:ilvl="0" w:tplc="E8188464">
      <w:start w:val="1"/>
      <w:numFmt w:val="hebrew1"/>
      <w:lvlText w:val="%1."/>
      <w:lvlJc w:val="left"/>
      <w:pPr>
        <w:ind w:left="360" w:hanging="360"/>
      </w:pPr>
      <w:rPr>
        <w:rFonts w:asciiTheme="minorHAnsi" w:eastAsiaTheme="minorHAnsi" w:hAnsiTheme="minorHAnsi" w:cs="David"/>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801CA3"/>
    <w:multiLevelType w:val="hybridMultilevel"/>
    <w:tmpl w:val="43AA624C"/>
    <w:lvl w:ilvl="0" w:tplc="A22A92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627D3"/>
    <w:multiLevelType w:val="hybridMultilevel"/>
    <w:tmpl w:val="0DB0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41075"/>
    <w:multiLevelType w:val="hybridMultilevel"/>
    <w:tmpl w:val="B6C66764"/>
    <w:lvl w:ilvl="0" w:tplc="87368E7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32AAE"/>
    <w:multiLevelType w:val="hybridMultilevel"/>
    <w:tmpl w:val="969AF55E"/>
    <w:lvl w:ilvl="0" w:tplc="41ACBA4C">
      <w:start w:val="70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A021C"/>
    <w:multiLevelType w:val="hybridMultilevel"/>
    <w:tmpl w:val="F6BAE48E"/>
    <w:lvl w:ilvl="0" w:tplc="D132F4C2">
      <w:start w:val="1"/>
      <w:numFmt w:val="hebrew1"/>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E12E8"/>
    <w:multiLevelType w:val="hybridMultilevel"/>
    <w:tmpl w:val="963AD4B6"/>
    <w:lvl w:ilvl="0" w:tplc="E8188464">
      <w:start w:val="1"/>
      <w:numFmt w:val="hebrew1"/>
      <w:lvlText w:val="%1."/>
      <w:lvlJc w:val="left"/>
      <w:pPr>
        <w:ind w:left="360" w:hanging="360"/>
      </w:pPr>
      <w:rPr>
        <w:rFonts w:asciiTheme="minorHAnsi" w:eastAsiaTheme="minorHAnsi" w:hAnsiTheme="minorHAnsi" w:cs="David"/>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2272A5"/>
    <w:multiLevelType w:val="hybridMultilevel"/>
    <w:tmpl w:val="B2E0DA08"/>
    <w:lvl w:ilvl="0" w:tplc="F8E40932">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79547C"/>
    <w:multiLevelType w:val="hybridMultilevel"/>
    <w:tmpl w:val="F6BAE48E"/>
    <w:lvl w:ilvl="0" w:tplc="D132F4C2">
      <w:start w:val="1"/>
      <w:numFmt w:val="hebrew1"/>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F437E"/>
    <w:multiLevelType w:val="hybridMultilevel"/>
    <w:tmpl w:val="EC4A9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CA1E00"/>
    <w:multiLevelType w:val="hybridMultilevel"/>
    <w:tmpl w:val="804C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A44F8D"/>
    <w:multiLevelType w:val="hybridMultilevel"/>
    <w:tmpl w:val="44CE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E794D"/>
    <w:multiLevelType w:val="hybridMultilevel"/>
    <w:tmpl w:val="B024D5EA"/>
    <w:lvl w:ilvl="0" w:tplc="DEA84D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4C06CC"/>
    <w:multiLevelType w:val="hybridMultilevel"/>
    <w:tmpl w:val="21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35B09"/>
    <w:multiLevelType w:val="hybridMultilevel"/>
    <w:tmpl w:val="3D648B0A"/>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5">
    <w:nsid w:val="4DFC796E"/>
    <w:multiLevelType w:val="hybridMultilevel"/>
    <w:tmpl w:val="0D84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832DC5"/>
    <w:multiLevelType w:val="hybridMultilevel"/>
    <w:tmpl w:val="48AE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004E1"/>
    <w:multiLevelType w:val="hybridMultilevel"/>
    <w:tmpl w:val="B2E0DA08"/>
    <w:lvl w:ilvl="0" w:tplc="F8E40932">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CF5979"/>
    <w:multiLevelType w:val="hybridMultilevel"/>
    <w:tmpl w:val="11D447BA"/>
    <w:lvl w:ilvl="0" w:tplc="079AF0AA">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5F600EF"/>
    <w:multiLevelType w:val="hybridMultilevel"/>
    <w:tmpl w:val="27FA2BBE"/>
    <w:lvl w:ilvl="0" w:tplc="00700928">
      <w:start w:val="1"/>
      <w:numFmt w:val="decimal"/>
      <w:lvlText w:val="%1."/>
      <w:lvlJc w:val="left"/>
      <w:pPr>
        <w:ind w:left="360" w:hanging="360"/>
      </w:pPr>
      <w:rPr>
        <w:rFonts w:cs="David" w:hint="default"/>
        <w:lang w:val="en-US"/>
      </w:rPr>
    </w:lvl>
    <w:lvl w:ilvl="1" w:tplc="8954C77C">
      <w:start w:val="1"/>
      <w:numFmt w:val="hebrew1"/>
      <w:lvlText w:val="%2."/>
      <w:lvlJc w:val="left"/>
      <w:pPr>
        <w:ind w:left="1080" w:hanging="360"/>
      </w:pPr>
      <w:rPr>
        <w:rFonts w:asciiTheme="minorHAnsi" w:eastAsiaTheme="minorHAnsi" w:hAnsiTheme="minorHAnsi" w:cs="David"/>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027840"/>
    <w:multiLevelType w:val="hybridMultilevel"/>
    <w:tmpl w:val="167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625F9"/>
    <w:multiLevelType w:val="hybridMultilevel"/>
    <w:tmpl w:val="9F4008D0"/>
    <w:lvl w:ilvl="0" w:tplc="9C76ED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53146"/>
    <w:multiLevelType w:val="hybridMultilevel"/>
    <w:tmpl w:val="AB02EC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1E411D"/>
    <w:multiLevelType w:val="hybridMultilevel"/>
    <w:tmpl w:val="287C69BC"/>
    <w:lvl w:ilvl="0" w:tplc="B91CFE78">
      <w:start w:val="1"/>
      <w:numFmt w:val="decimal"/>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CD7788"/>
    <w:multiLevelType w:val="hybridMultilevel"/>
    <w:tmpl w:val="D1427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447C4"/>
    <w:multiLevelType w:val="hybridMultilevel"/>
    <w:tmpl w:val="EB025314"/>
    <w:lvl w:ilvl="0" w:tplc="41ACBA4C">
      <w:start w:val="700"/>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BF5C1B"/>
    <w:multiLevelType w:val="hybridMultilevel"/>
    <w:tmpl w:val="8C7CE28E"/>
    <w:lvl w:ilvl="0" w:tplc="8954C77C">
      <w:start w:val="1"/>
      <w:numFmt w:val="hebrew1"/>
      <w:lvlText w:val="%1."/>
      <w:lvlJc w:val="left"/>
      <w:pPr>
        <w:ind w:left="1080" w:hanging="360"/>
      </w:pPr>
      <w:rPr>
        <w:rFonts w:asciiTheme="minorHAnsi" w:eastAsiaTheme="minorHAnsi" w:hAnsiTheme="minorHAnsi"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F2DF1"/>
    <w:multiLevelType w:val="hybridMultilevel"/>
    <w:tmpl w:val="30442AE2"/>
    <w:lvl w:ilvl="0" w:tplc="9C027BFE">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BE7A6D"/>
    <w:multiLevelType w:val="hybridMultilevel"/>
    <w:tmpl w:val="D6B219B0"/>
    <w:lvl w:ilvl="0" w:tplc="B3A43762">
      <w:start w:val="1"/>
      <w:numFmt w:val="hebrew1"/>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060E1"/>
    <w:multiLevelType w:val="hybridMultilevel"/>
    <w:tmpl w:val="E2A0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E108C1"/>
    <w:multiLevelType w:val="hybridMultilevel"/>
    <w:tmpl w:val="175E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23"/>
  </w:num>
  <w:num w:numId="5">
    <w:abstractNumId w:val="20"/>
  </w:num>
  <w:num w:numId="6">
    <w:abstractNumId w:val="34"/>
  </w:num>
  <w:num w:numId="7">
    <w:abstractNumId w:val="12"/>
  </w:num>
  <w:num w:numId="8">
    <w:abstractNumId w:val="2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7"/>
  </w:num>
  <w:num w:numId="12">
    <w:abstractNumId w:val="38"/>
  </w:num>
  <w:num w:numId="13">
    <w:abstractNumId w:val="28"/>
  </w:num>
  <w:num w:numId="14">
    <w:abstractNumId w:val="9"/>
  </w:num>
  <w:num w:numId="15">
    <w:abstractNumId w:val="31"/>
  </w:num>
  <w:num w:numId="16">
    <w:abstractNumId w:val="22"/>
  </w:num>
  <w:num w:numId="17">
    <w:abstractNumId w:val="25"/>
  </w:num>
  <w:num w:numId="18">
    <w:abstractNumId w:val="14"/>
  </w:num>
  <w:num w:numId="19">
    <w:abstractNumId w:val="26"/>
  </w:num>
  <w:num w:numId="20">
    <w:abstractNumId w:val="1"/>
  </w:num>
  <w:num w:numId="21">
    <w:abstractNumId w:val="40"/>
  </w:num>
  <w:num w:numId="22">
    <w:abstractNumId w:val="0"/>
  </w:num>
  <w:num w:numId="23">
    <w:abstractNumId w:val="33"/>
  </w:num>
  <w:num w:numId="24">
    <w:abstractNumId w:val="8"/>
  </w:num>
  <w:num w:numId="25">
    <w:abstractNumId w:val="10"/>
  </w:num>
  <w:num w:numId="26">
    <w:abstractNumId w:val="32"/>
  </w:num>
  <w:num w:numId="27">
    <w:abstractNumId w:val="3"/>
  </w:num>
  <w:num w:numId="28">
    <w:abstractNumId w:val="35"/>
  </w:num>
  <w:num w:numId="29">
    <w:abstractNumId w:val="16"/>
  </w:num>
  <w:num w:numId="30">
    <w:abstractNumId w:val="4"/>
  </w:num>
  <w:num w:numId="31">
    <w:abstractNumId w:val="11"/>
  </w:num>
  <w:num w:numId="32">
    <w:abstractNumId w:val="24"/>
  </w:num>
  <w:num w:numId="33">
    <w:abstractNumId w:val="19"/>
  </w:num>
  <w:num w:numId="34">
    <w:abstractNumId w:val="13"/>
  </w:num>
  <w:num w:numId="35">
    <w:abstractNumId w:val="39"/>
  </w:num>
  <w:num w:numId="36">
    <w:abstractNumId w:val="30"/>
  </w:num>
  <w:num w:numId="37">
    <w:abstractNumId w:val="18"/>
  </w:num>
  <w:num w:numId="38">
    <w:abstractNumId w:val="15"/>
  </w:num>
  <w:num w:numId="39">
    <w:abstractNumId w:val="27"/>
  </w:num>
  <w:num w:numId="40">
    <w:abstractNumId w:val="1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32"/>
    <w:rsid w:val="00001BD8"/>
    <w:rsid w:val="0000572A"/>
    <w:rsid w:val="00012463"/>
    <w:rsid w:val="00013332"/>
    <w:rsid w:val="00014753"/>
    <w:rsid w:val="00021670"/>
    <w:rsid w:val="000234C0"/>
    <w:rsid w:val="000269DC"/>
    <w:rsid w:val="000338FB"/>
    <w:rsid w:val="00033C3F"/>
    <w:rsid w:val="00034080"/>
    <w:rsid w:val="00035624"/>
    <w:rsid w:val="00037237"/>
    <w:rsid w:val="000449A4"/>
    <w:rsid w:val="000467EE"/>
    <w:rsid w:val="00046AD4"/>
    <w:rsid w:val="000474FB"/>
    <w:rsid w:val="00052CD1"/>
    <w:rsid w:val="00060B4C"/>
    <w:rsid w:val="00061D8A"/>
    <w:rsid w:val="00064DB9"/>
    <w:rsid w:val="00064EB0"/>
    <w:rsid w:val="00074282"/>
    <w:rsid w:val="00091868"/>
    <w:rsid w:val="000928E6"/>
    <w:rsid w:val="0009311D"/>
    <w:rsid w:val="000935DA"/>
    <w:rsid w:val="00094F9F"/>
    <w:rsid w:val="000A0868"/>
    <w:rsid w:val="000A3729"/>
    <w:rsid w:val="000A5641"/>
    <w:rsid w:val="000A6916"/>
    <w:rsid w:val="000B0506"/>
    <w:rsid w:val="000B2180"/>
    <w:rsid w:val="000C5456"/>
    <w:rsid w:val="000D4B80"/>
    <w:rsid w:val="000D68D8"/>
    <w:rsid w:val="00103F7B"/>
    <w:rsid w:val="001045B1"/>
    <w:rsid w:val="00121FFD"/>
    <w:rsid w:val="001253E7"/>
    <w:rsid w:val="00127B05"/>
    <w:rsid w:val="00142372"/>
    <w:rsid w:val="00145075"/>
    <w:rsid w:val="00145B05"/>
    <w:rsid w:val="00156357"/>
    <w:rsid w:val="001575A6"/>
    <w:rsid w:val="00160E7A"/>
    <w:rsid w:val="00162195"/>
    <w:rsid w:val="001633D8"/>
    <w:rsid w:val="00164781"/>
    <w:rsid w:val="001649DE"/>
    <w:rsid w:val="00183558"/>
    <w:rsid w:val="00186F4C"/>
    <w:rsid w:val="001A214D"/>
    <w:rsid w:val="001A567B"/>
    <w:rsid w:val="001B2316"/>
    <w:rsid w:val="001B7845"/>
    <w:rsid w:val="001C0F7E"/>
    <w:rsid w:val="001C125A"/>
    <w:rsid w:val="001C2305"/>
    <w:rsid w:val="001C4269"/>
    <w:rsid w:val="001D15DE"/>
    <w:rsid w:val="001D4CEC"/>
    <w:rsid w:val="001D6850"/>
    <w:rsid w:val="001F14EA"/>
    <w:rsid w:val="001F1DF0"/>
    <w:rsid w:val="001F3592"/>
    <w:rsid w:val="001F5FFD"/>
    <w:rsid w:val="00204530"/>
    <w:rsid w:val="00205F78"/>
    <w:rsid w:val="0021243E"/>
    <w:rsid w:val="00215A2F"/>
    <w:rsid w:val="002358BC"/>
    <w:rsid w:val="002364EA"/>
    <w:rsid w:val="00244249"/>
    <w:rsid w:val="0024720C"/>
    <w:rsid w:val="00263213"/>
    <w:rsid w:val="00270B95"/>
    <w:rsid w:val="002841AD"/>
    <w:rsid w:val="002848E2"/>
    <w:rsid w:val="002864F0"/>
    <w:rsid w:val="00287695"/>
    <w:rsid w:val="00295ED5"/>
    <w:rsid w:val="002A2437"/>
    <w:rsid w:val="002A638A"/>
    <w:rsid w:val="002B15AF"/>
    <w:rsid w:val="002B4F32"/>
    <w:rsid w:val="002C0510"/>
    <w:rsid w:val="002D7CC4"/>
    <w:rsid w:val="002E213B"/>
    <w:rsid w:val="00321082"/>
    <w:rsid w:val="0032747B"/>
    <w:rsid w:val="00333A23"/>
    <w:rsid w:val="00337A71"/>
    <w:rsid w:val="00342F67"/>
    <w:rsid w:val="00345FC4"/>
    <w:rsid w:val="00356CDE"/>
    <w:rsid w:val="00366276"/>
    <w:rsid w:val="00367381"/>
    <w:rsid w:val="00377118"/>
    <w:rsid w:val="003A2C34"/>
    <w:rsid w:val="003A2D62"/>
    <w:rsid w:val="003B088E"/>
    <w:rsid w:val="003B26B7"/>
    <w:rsid w:val="003B2849"/>
    <w:rsid w:val="003B5C19"/>
    <w:rsid w:val="003B5C4A"/>
    <w:rsid w:val="003B695A"/>
    <w:rsid w:val="003B6DF3"/>
    <w:rsid w:val="003C05E2"/>
    <w:rsid w:val="003C2584"/>
    <w:rsid w:val="003C25B2"/>
    <w:rsid w:val="003C2CDC"/>
    <w:rsid w:val="003E05D7"/>
    <w:rsid w:val="003E7722"/>
    <w:rsid w:val="003F113C"/>
    <w:rsid w:val="003F3384"/>
    <w:rsid w:val="003F743D"/>
    <w:rsid w:val="00402904"/>
    <w:rsid w:val="00405841"/>
    <w:rsid w:val="00410B46"/>
    <w:rsid w:val="00410DB4"/>
    <w:rsid w:val="00417B6B"/>
    <w:rsid w:val="00420047"/>
    <w:rsid w:val="00421544"/>
    <w:rsid w:val="00423084"/>
    <w:rsid w:val="004263C3"/>
    <w:rsid w:val="00432721"/>
    <w:rsid w:val="004376C6"/>
    <w:rsid w:val="00443470"/>
    <w:rsid w:val="00451EF5"/>
    <w:rsid w:val="00452B4A"/>
    <w:rsid w:val="004605DD"/>
    <w:rsid w:val="00463FBE"/>
    <w:rsid w:val="0046772D"/>
    <w:rsid w:val="004701C4"/>
    <w:rsid w:val="0047195A"/>
    <w:rsid w:val="0047603C"/>
    <w:rsid w:val="0048331B"/>
    <w:rsid w:val="00484104"/>
    <w:rsid w:val="00484B4E"/>
    <w:rsid w:val="004851EA"/>
    <w:rsid w:val="004875BC"/>
    <w:rsid w:val="0049455C"/>
    <w:rsid w:val="00497073"/>
    <w:rsid w:val="004A11B2"/>
    <w:rsid w:val="004A4E02"/>
    <w:rsid w:val="004B0312"/>
    <w:rsid w:val="004C2EDE"/>
    <w:rsid w:val="004C449B"/>
    <w:rsid w:val="004C7106"/>
    <w:rsid w:val="004D6F8B"/>
    <w:rsid w:val="004E7BD7"/>
    <w:rsid w:val="004F1150"/>
    <w:rsid w:val="005017FA"/>
    <w:rsid w:val="00505ADE"/>
    <w:rsid w:val="005060B2"/>
    <w:rsid w:val="005178D1"/>
    <w:rsid w:val="00522C87"/>
    <w:rsid w:val="00524166"/>
    <w:rsid w:val="0052458A"/>
    <w:rsid w:val="005263C7"/>
    <w:rsid w:val="00547FC6"/>
    <w:rsid w:val="005507CC"/>
    <w:rsid w:val="00562F2A"/>
    <w:rsid w:val="00563A1F"/>
    <w:rsid w:val="00571CD7"/>
    <w:rsid w:val="00574A8D"/>
    <w:rsid w:val="00586703"/>
    <w:rsid w:val="00592E53"/>
    <w:rsid w:val="005966ED"/>
    <w:rsid w:val="005B4538"/>
    <w:rsid w:val="005B7F28"/>
    <w:rsid w:val="005D5B18"/>
    <w:rsid w:val="005F13A5"/>
    <w:rsid w:val="005F6F77"/>
    <w:rsid w:val="00604739"/>
    <w:rsid w:val="00620271"/>
    <w:rsid w:val="0062707A"/>
    <w:rsid w:val="006322D1"/>
    <w:rsid w:val="00653325"/>
    <w:rsid w:val="00654F66"/>
    <w:rsid w:val="00655954"/>
    <w:rsid w:val="0065693E"/>
    <w:rsid w:val="0066186C"/>
    <w:rsid w:val="00674E35"/>
    <w:rsid w:val="00683711"/>
    <w:rsid w:val="006847DD"/>
    <w:rsid w:val="00690062"/>
    <w:rsid w:val="00696406"/>
    <w:rsid w:val="00696C3F"/>
    <w:rsid w:val="006A572B"/>
    <w:rsid w:val="006B7F14"/>
    <w:rsid w:val="006C03B3"/>
    <w:rsid w:val="006C5497"/>
    <w:rsid w:val="006D544A"/>
    <w:rsid w:val="006D6548"/>
    <w:rsid w:val="006E21AD"/>
    <w:rsid w:val="006E3DEA"/>
    <w:rsid w:val="006E7004"/>
    <w:rsid w:val="0070003D"/>
    <w:rsid w:val="00702ED8"/>
    <w:rsid w:val="00712925"/>
    <w:rsid w:val="007129AB"/>
    <w:rsid w:val="00716D53"/>
    <w:rsid w:val="00717904"/>
    <w:rsid w:val="007215DB"/>
    <w:rsid w:val="007277EE"/>
    <w:rsid w:val="00746A83"/>
    <w:rsid w:val="00755AD4"/>
    <w:rsid w:val="00757019"/>
    <w:rsid w:val="00771EEC"/>
    <w:rsid w:val="007737C5"/>
    <w:rsid w:val="00775110"/>
    <w:rsid w:val="00777F73"/>
    <w:rsid w:val="00782512"/>
    <w:rsid w:val="0078414D"/>
    <w:rsid w:val="00786643"/>
    <w:rsid w:val="00795A54"/>
    <w:rsid w:val="007A2115"/>
    <w:rsid w:val="007A72AE"/>
    <w:rsid w:val="007B0BEF"/>
    <w:rsid w:val="007B39E0"/>
    <w:rsid w:val="007C0442"/>
    <w:rsid w:val="007C2E85"/>
    <w:rsid w:val="007C493B"/>
    <w:rsid w:val="007D16CD"/>
    <w:rsid w:val="007D4179"/>
    <w:rsid w:val="007D4EDE"/>
    <w:rsid w:val="007D5423"/>
    <w:rsid w:val="007E2961"/>
    <w:rsid w:val="007E7DE5"/>
    <w:rsid w:val="007F020E"/>
    <w:rsid w:val="007F46E6"/>
    <w:rsid w:val="007F48E8"/>
    <w:rsid w:val="007F678C"/>
    <w:rsid w:val="00804701"/>
    <w:rsid w:val="0081623A"/>
    <w:rsid w:val="00830D4E"/>
    <w:rsid w:val="00832EBA"/>
    <w:rsid w:val="00833A5F"/>
    <w:rsid w:val="008417E9"/>
    <w:rsid w:val="00847132"/>
    <w:rsid w:val="00854C71"/>
    <w:rsid w:val="008567C3"/>
    <w:rsid w:val="00870BAC"/>
    <w:rsid w:val="00876B3D"/>
    <w:rsid w:val="00877663"/>
    <w:rsid w:val="00877C35"/>
    <w:rsid w:val="008931DA"/>
    <w:rsid w:val="008A44F4"/>
    <w:rsid w:val="008B18DA"/>
    <w:rsid w:val="008B6109"/>
    <w:rsid w:val="008C715D"/>
    <w:rsid w:val="008D6328"/>
    <w:rsid w:val="008F07A4"/>
    <w:rsid w:val="008F176B"/>
    <w:rsid w:val="008F361D"/>
    <w:rsid w:val="008F3741"/>
    <w:rsid w:val="008F5332"/>
    <w:rsid w:val="0090108E"/>
    <w:rsid w:val="00901870"/>
    <w:rsid w:val="00926D3D"/>
    <w:rsid w:val="00935480"/>
    <w:rsid w:val="0093632B"/>
    <w:rsid w:val="00943FFB"/>
    <w:rsid w:val="00945940"/>
    <w:rsid w:val="00947792"/>
    <w:rsid w:val="009513C5"/>
    <w:rsid w:val="00960765"/>
    <w:rsid w:val="009750BC"/>
    <w:rsid w:val="00976500"/>
    <w:rsid w:val="00985D72"/>
    <w:rsid w:val="0098676E"/>
    <w:rsid w:val="00990D22"/>
    <w:rsid w:val="009A778C"/>
    <w:rsid w:val="009B4F81"/>
    <w:rsid w:val="009C0718"/>
    <w:rsid w:val="009C3063"/>
    <w:rsid w:val="009C7158"/>
    <w:rsid w:val="009D41A2"/>
    <w:rsid w:val="009E0000"/>
    <w:rsid w:val="009E0B85"/>
    <w:rsid w:val="009E0D57"/>
    <w:rsid w:val="009E738C"/>
    <w:rsid w:val="009F1920"/>
    <w:rsid w:val="00A01724"/>
    <w:rsid w:val="00A11693"/>
    <w:rsid w:val="00A14ECE"/>
    <w:rsid w:val="00A347F1"/>
    <w:rsid w:val="00A36CA1"/>
    <w:rsid w:val="00A37B2F"/>
    <w:rsid w:val="00A40AC8"/>
    <w:rsid w:val="00A455F1"/>
    <w:rsid w:val="00A45F92"/>
    <w:rsid w:val="00A47641"/>
    <w:rsid w:val="00A5368B"/>
    <w:rsid w:val="00A54E2C"/>
    <w:rsid w:val="00A62AE2"/>
    <w:rsid w:val="00A62DBA"/>
    <w:rsid w:val="00A63406"/>
    <w:rsid w:val="00A66996"/>
    <w:rsid w:val="00A71932"/>
    <w:rsid w:val="00A73D65"/>
    <w:rsid w:val="00A80512"/>
    <w:rsid w:val="00A8216B"/>
    <w:rsid w:val="00A83268"/>
    <w:rsid w:val="00A844DA"/>
    <w:rsid w:val="00A85713"/>
    <w:rsid w:val="00A85760"/>
    <w:rsid w:val="00A94D8F"/>
    <w:rsid w:val="00AA2251"/>
    <w:rsid w:val="00AA2BF2"/>
    <w:rsid w:val="00AA2F6C"/>
    <w:rsid w:val="00AA7A4D"/>
    <w:rsid w:val="00AB5CD6"/>
    <w:rsid w:val="00AD4AD2"/>
    <w:rsid w:val="00AD60F3"/>
    <w:rsid w:val="00AE569B"/>
    <w:rsid w:val="00AF019F"/>
    <w:rsid w:val="00B06108"/>
    <w:rsid w:val="00B12E4D"/>
    <w:rsid w:val="00B30B2B"/>
    <w:rsid w:val="00B357F5"/>
    <w:rsid w:val="00B42A48"/>
    <w:rsid w:val="00B45FF4"/>
    <w:rsid w:val="00B776EF"/>
    <w:rsid w:val="00B8004D"/>
    <w:rsid w:val="00B80B8B"/>
    <w:rsid w:val="00B81ED7"/>
    <w:rsid w:val="00B828C9"/>
    <w:rsid w:val="00B86B86"/>
    <w:rsid w:val="00B96D76"/>
    <w:rsid w:val="00BA17AB"/>
    <w:rsid w:val="00BA57DD"/>
    <w:rsid w:val="00BA6861"/>
    <w:rsid w:val="00BA7BBF"/>
    <w:rsid w:val="00BB02B1"/>
    <w:rsid w:val="00BC7EF5"/>
    <w:rsid w:val="00BE1057"/>
    <w:rsid w:val="00BE762E"/>
    <w:rsid w:val="00C00C63"/>
    <w:rsid w:val="00C040FE"/>
    <w:rsid w:val="00C06AB8"/>
    <w:rsid w:val="00C12DB7"/>
    <w:rsid w:val="00C14330"/>
    <w:rsid w:val="00C2246C"/>
    <w:rsid w:val="00C2354C"/>
    <w:rsid w:val="00C3287D"/>
    <w:rsid w:val="00C352FD"/>
    <w:rsid w:val="00C367D2"/>
    <w:rsid w:val="00C51D9E"/>
    <w:rsid w:val="00C5275E"/>
    <w:rsid w:val="00C53266"/>
    <w:rsid w:val="00C53F6B"/>
    <w:rsid w:val="00C5593C"/>
    <w:rsid w:val="00C6050C"/>
    <w:rsid w:val="00C62AB8"/>
    <w:rsid w:val="00C90626"/>
    <w:rsid w:val="00CA744F"/>
    <w:rsid w:val="00CB5F60"/>
    <w:rsid w:val="00CB6704"/>
    <w:rsid w:val="00CC3F66"/>
    <w:rsid w:val="00CC7F7E"/>
    <w:rsid w:val="00CD0248"/>
    <w:rsid w:val="00CD0895"/>
    <w:rsid w:val="00CD097A"/>
    <w:rsid w:val="00CD5F56"/>
    <w:rsid w:val="00CE448E"/>
    <w:rsid w:val="00CE641D"/>
    <w:rsid w:val="00D014B8"/>
    <w:rsid w:val="00D117EA"/>
    <w:rsid w:val="00D137D3"/>
    <w:rsid w:val="00D17816"/>
    <w:rsid w:val="00D24318"/>
    <w:rsid w:val="00D24B8B"/>
    <w:rsid w:val="00D62049"/>
    <w:rsid w:val="00D62535"/>
    <w:rsid w:val="00D71A3C"/>
    <w:rsid w:val="00D7262C"/>
    <w:rsid w:val="00D8213D"/>
    <w:rsid w:val="00D9234A"/>
    <w:rsid w:val="00D9533A"/>
    <w:rsid w:val="00DB0D50"/>
    <w:rsid w:val="00DB1CAB"/>
    <w:rsid w:val="00DB2E1B"/>
    <w:rsid w:val="00DB563E"/>
    <w:rsid w:val="00DB6BE1"/>
    <w:rsid w:val="00DC411A"/>
    <w:rsid w:val="00DC60F4"/>
    <w:rsid w:val="00DC7B00"/>
    <w:rsid w:val="00DD4071"/>
    <w:rsid w:val="00DD4FFA"/>
    <w:rsid w:val="00DF0177"/>
    <w:rsid w:val="00DF2FF7"/>
    <w:rsid w:val="00DF31D9"/>
    <w:rsid w:val="00DF486B"/>
    <w:rsid w:val="00DF7F05"/>
    <w:rsid w:val="00E21123"/>
    <w:rsid w:val="00E22B9D"/>
    <w:rsid w:val="00E24A69"/>
    <w:rsid w:val="00E25A74"/>
    <w:rsid w:val="00E31F1B"/>
    <w:rsid w:val="00E40327"/>
    <w:rsid w:val="00E44ED7"/>
    <w:rsid w:val="00E4629A"/>
    <w:rsid w:val="00E57556"/>
    <w:rsid w:val="00E60346"/>
    <w:rsid w:val="00E62B43"/>
    <w:rsid w:val="00E65B30"/>
    <w:rsid w:val="00E77CD4"/>
    <w:rsid w:val="00E85643"/>
    <w:rsid w:val="00E925B0"/>
    <w:rsid w:val="00E94365"/>
    <w:rsid w:val="00E947E7"/>
    <w:rsid w:val="00E978EF"/>
    <w:rsid w:val="00EA46B9"/>
    <w:rsid w:val="00EB0B32"/>
    <w:rsid w:val="00EB0CAC"/>
    <w:rsid w:val="00EB2D21"/>
    <w:rsid w:val="00EB487D"/>
    <w:rsid w:val="00EB71F2"/>
    <w:rsid w:val="00EC6A63"/>
    <w:rsid w:val="00ED0398"/>
    <w:rsid w:val="00EE337E"/>
    <w:rsid w:val="00EF0679"/>
    <w:rsid w:val="00EF6845"/>
    <w:rsid w:val="00EF6EE0"/>
    <w:rsid w:val="00F039D3"/>
    <w:rsid w:val="00F05FC8"/>
    <w:rsid w:val="00F10E7C"/>
    <w:rsid w:val="00F17BC3"/>
    <w:rsid w:val="00F33DE9"/>
    <w:rsid w:val="00F34903"/>
    <w:rsid w:val="00F3660F"/>
    <w:rsid w:val="00F50A31"/>
    <w:rsid w:val="00F563AC"/>
    <w:rsid w:val="00F5767F"/>
    <w:rsid w:val="00F605C3"/>
    <w:rsid w:val="00F62140"/>
    <w:rsid w:val="00F66E47"/>
    <w:rsid w:val="00F66FF4"/>
    <w:rsid w:val="00F70B51"/>
    <w:rsid w:val="00F73B67"/>
    <w:rsid w:val="00F83CDC"/>
    <w:rsid w:val="00F9662D"/>
    <w:rsid w:val="00F97437"/>
    <w:rsid w:val="00FA6A18"/>
    <w:rsid w:val="00FB0263"/>
    <w:rsid w:val="00FB0B8D"/>
    <w:rsid w:val="00FB340D"/>
    <w:rsid w:val="00FC0E5B"/>
    <w:rsid w:val="00FC72A6"/>
    <w:rsid w:val="00FE1F91"/>
    <w:rsid w:val="00FE5A26"/>
    <w:rsid w:val="00FE5D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w:rsid w:val="00A8216B"/>
    <w:rPr>
      <w:rFonts w:ascii="Times New Roman" w:hAnsi="Times New Roman" w:cs="Times New Roman"/>
      <w:sz w:val="26"/>
      <w:szCs w:val="26"/>
    </w:rPr>
  </w:style>
  <w:style w:type="paragraph" w:styleId="a3">
    <w:name w:val="footnote text"/>
    <w:basedOn w:val="a"/>
    <w:link w:val="a4"/>
    <w:semiHidden/>
    <w:unhideWhenUsed/>
    <w:rsid w:val="001D15DE"/>
    <w:pPr>
      <w:spacing w:after="0" w:line="240" w:lineRule="auto"/>
    </w:pPr>
    <w:rPr>
      <w:sz w:val="20"/>
      <w:szCs w:val="20"/>
    </w:rPr>
  </w:style>
  <w:style w:type="character" w:customStyle="1" w:styleId="a4">
    <w:name w:val="טקסט הערת שוליים תו"/>
    <w:basedOn w:val="a0"/>
    <w:link w:val="a3"/>
    <w:semiHidden/>
    <w:rsid w:val="001D15DE"/>
    <w:rPr>
      <w:sz w:val="20"/>
      <w:szCs w:val="20"/>
    </w:rPr>
  </w:style>
  <w:style w:type="character" w:styleId="a5">
    <w:name w:val="footnote reference"/>
    <w:aliases w:val="Footnote Reference"/>
    <w:basedOn w:val="a0"/>
    <w:uiPriority w:val="99"/>
    <w:semiHidden/>
    <w:unhideWhenUsed/>
    <w:rsid w:val="001D15DE"/>
    <w:rPr>
      <w:vertAlign w:val="superscript"/>
    </w:rPr>
  </w:style>
  <w:style w:type="paragraph" w:styleId="a6">
    <w:name w:val="List Paragraph"/>
    <w:basedOn w:val="a"/>
    <w:uiPriority w:val="34"/>
    <w:qFormat/>
    <w:rsid w:val="0093632B"/>
    <w:pPr>
      <w:ind w:left="720"/>
      <w:contextualSpacing/>
    </w:pPr>
  </w:style>
  <w:style w:type="paragraph" w:styleId="a7">
    <w:name w:val="header"/>
    <w:basedOn w:val="a"/>
    <w:link w:val="a8"/>
    <w:uiPriority w:val="99"/>
    <w:unhideWhenUsed/>
    <w:rsid w:val="0009311D"/>
    <w:pPr>
      <w:tabs>
        <w:tab w:val="center" w:pos="4153"/>
        <w:tab w:val="right" w:pos="8306"/>
      </w:tabs>
      <w:spacing w:after="0" w:line="240" w:lineRule="auto"/>
    </w:pPr>
  </w:style>
  <w:style w:type="character" w:customStyle="1" w:styleId="a8">
    <w:name w:val="כותרת עליונה תו"/>
    <w:basedOn w:val="a0"/>
    <w:link w:val="a7"/>
    <w:uiPriority w:val="99"/>
    <w:rsid w:val="0009311D"/>
  </w:style>
  <w:style w:type="paragraph" w:styleId="a9">
    <w:name w:val="footer"/>
    <w:basedOn w:val="a"/>
    <w:link w:val="aa"/>
    <w:uiPriority w:val="99"/>
    <w:unhideWhenUsed/>
    <w:rsid w:val="0009311D"/>
    <w:pPr>
      <w:tabs>
        <w:tab w:val="center" w:pos="4153"/>
        <w:tab w:val="right" w:pos="8306"/>
      </w:tabs>
      <w:spacing w:after="0" w:line="240" w:lineRule="auto"/>
    </w:pPr>
  </w:style>
  <w:style w:type="character" w:customStyle="1" w:styleId="aa">
    <w:name w:val="כותרת תחתונה תו"/>
    <w:basedOn w:val="a0"/>
    <w:link w:val="a9"/>
    <w:uiPriority w:val="99"/>
    <w:rsid w:val="0009311D"/>
  </w:style>
  <w:style w:type="paragraph" w:customStyle="1" w:styleId="P00">
    <w:name w:val="P00"/>
    <w:rsid w:val="00CB670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CB6704"/>
    <w:rPr>
      <w:rFonts w:ascii="Times New Roman" w:hAnsi="Times New Roman" w:cs="Times New Roman"/>
      <w:sz w:val="32"/>
      <w:szCs w:val="32"/>
    </w:rPr>
  </w:style>
  <w:style w:type="paragraph" w:customStyle="1" w:styleId="P22">
    <w:name w:val="P22"/>
    <w:basedOn w:val="P00"/>
    <w:rsid w:val="00CB6704"/>
    <w:pPr>
      <w:tabs>
        <w:tab w:val="clear" w:pos="624"/>
        <w:tab w:val="clear" w:pos="1021"/>
      </w:tabs>
      <w:ind w:right="1021"/>
    </w:pPr>
  </w:style>
  <w:style w:type="paragraph" w:customStyle="1" w:styleId="P44">
    <w:name w:val="P44"/>
    <w:basedOn w:val="P00"/>
    <w:rsid w:val="00CB6704"/>
    <w:pPr>
      <w:tabs>
        <w:tab w:val="clear" w:pos="624"/>
        <w:tab w:val="clear" w:pos="1021"/>
        <w:tab w:val="clear" w:pos="1474"/>
        <w:tab w:val="clear" w:pos="1928"/>
      </w:tabs>
      <w:ind w:right="1928"/>
    </w:pPr>
  </w:style>
  <w:style w:type="paragraph" w:customStyle="1" w:styleId="P33">
    <w:name w:val="P33"/>
    <w:basedOn w:val="P00"/>
    <w:rsid w:val="00CB6704"/>
    <w:pPr>
      <w:tabs>
        <w:tab w:val="clear" w:pos="624"/>
        <w:tab w:val="clear" w:pos="1021"/>
        <w:tab w:val="clear" w:pos="1474"/>
      </w:tabs>
      <w:ind w:right="1474"/>
    </w:pPr>
  </w:style>
  <w:style w:type="paragraph" w:customStyle="1" w:styleId="P03">
    <w:name w:val="P03"/>
    <w:basedOn w:val="P00"/>
    <w:rsid w:val="00D9533A"/>
    <w:pPr>
      <w:ind w:right="1474" w:hanging="1474"/>
    </w:pPr>
  </w:style>
  <w:style w:type="table" w:styleId="ab">
    <w:name w:val="Table Grid"/>
    <w:basedOn w:val="a1"/>
    <w:uiPriority w:val="39"/>
    <w:rsid w:val="00EF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P00"/>
    <w:rsid w:val="00574A8D"/>
    <w:pPr>
      <w:tabs>
        <w:tab w:val="clear" w:pos="624"/>
      </w:tabs>
      <w:ind w:right="624"/>
    </w:pPr>
  </w:style>
  <w:style w:type="paragraph" w:styleId="ac">
    <w:name w:val="Balloon Text"/>
    <w:basedOn w:val="a"/>
    <w:link w:val="ad"/>
    <w:uiPriority w:val="99"/>
    <w:semiHidden/>
    <w:unhideWhenUsed/>
    <w:rsid w:val="00696406"/>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696406"/>
    <w:rPr>
      <w:rFonts w:ascii="Tahoma" w:hAnsi="Tahoma" w:cs="Tahoma"/>
      <w:sz w:val="18"/>
      <w:szCs w:val="18"/>
    </w:rPr>
  </w:style>
  <w:style w:type="character" w:styleId="Hyperlink">
    <w:name w:val="Hyperlink"/>
    <w:basedOn w:val="a0"/>
    <w:uiPriority w:val="99"/>
    <w:unhideWhenUsed/>
    <w:rsid w:val="000A5641"/>
    <w:rPr>
      <w:color w:val="0563C1" w:themeColor="hyperlink"/>
      <w:u w:val="single"/>
    </w:rPr>
  </w:style>
  <w:style w:type="character" w:styleId="FollowedHyperlink">
    <w:name w:val="FollowedHyperlink"/>
    <w:basedOn w:val="a0"/>
    <w:uiPriority w:val="99"/>
    <w:semiHidden/>
    <w:unhideWhenUsed/>
    <w:rsid w:val="000A5641"/>
    <w:rPr>
      <w:color w:val="954F72" w:themeColor="followedHyperlink"/>
      <w:u w:val="single"/>
    </w:rPr>
  </w:style>
  <w:style w:type="character" w:styleId="ae">
    <w:name w:val="annotation reference"/>
    <w:basedOn w:val="a0"/>
    <w:uiPriority w:val="99"/>
    <w:semiHidden/>
    <w:unhideWhenUsed/>
    <w:rsid w:val="00484104"/>
    <w:rPr>
      <w:sz w:val="16"/>
      <w:szCs w:val="16"/>
    </w:rPr>
  </w:style>
  <w:style w:type="paragraph" w:styleId="af">
    <w:name w:val="annotation text"/>
    <w:basedOn w:val="a"/>
    <w:link w:val="af0"/>
    <w:uiPriority w:val="99"/>
    <w:unhideWhenUsed/>
    <w:rsid w:val="00484104"/>
    <w:pPr>
      <w:spacing w:line="240" w:lineRule="auto"/>
    </w:pPr>
    <w:rPr>
      <w:sz w:val="20"/>
      <w:szCs w:val="20"/>
    </w:rPr>
  </w:style>
  <w:style w:type="character" w:customStyle="1" w:styleId="af0">
    <w:name w:val="טקסט הערה תו"/>
    <w:basedOn w:val="a0"/>
    <w:link w:val="af"/>
    <w:uiPriority w:val="99"/>
    <w:rsid w:val="00484104"/>
    <w:rPr>
      <w:sz w:val="20"/>
      <w:szCs w:val="20"/>
    </w:rPr>
  </w:style>
  <w:style w:type="paragraph" w:styleId="af1">
    <w:name w:val="annotation subject"/>
    <w:basedOn w:val="af"/>
    <w:next w:val="af"/>
    <w:link w:val="af2"/>
    <w:uiPriority w:val="99"/>
    <w:semiHidden/>
    <w:unhideWhenUsed/>
    <w:rsid w:val="00484104"/>
    <w:rPr>
      <w:b/>
      <w:bCs/>
    </w:rPr>
  </w:style>
  <w:style w:type="character" w:customStyle="1" w:styleId="af2">
    <w:name w:val="נושא הערה תו"/>
    <w:basedOn w:val="af0"/>
    <w:link w:val="af1"/>
    <w:uiPriority w:val="99"/>
    <w:semiHidden/>
    <w:rsid w:val="004841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w:rsid w:val="00A8216B"/>
    <w:rPr>
      <w:rFonts w:ascii="Times New Roman" w:hAnsi="Times New Roman" w:cs="Times New Roman"/>
      <w:sz w:val="26"/>
      <w:szCs w:val="26"/>
    </w:rPr>
  </w:style>
  <w:style w:type="paragraph" w:styleId="a3">
    <w:name w:val="footnote text"/>
    <w:basedOn w:val="a"/>
    <w:link w:val="a4"/>
    <w:semiHidden/>
    <w:unhideWhenUsed/>
    <w:rsid w:val="001D15DE"/>
    <w:pPr>
      <w:spacing w:after="0" w:line="240" w:lineRule="auto"/>
    </w:pPr>
    <w:rPr>
      <w:sz w:val="20"/>
      <w:szCs w:val="20"/>
    </w:rPr>
  </w:style>
  <w:style w:type="character" w:customStyle="1" w:styleId="a4">
    <w:name w:val="טקסט הערת שוליים תו"/>
    <w:basedOn w:val="a0"/>
    <w:link w:val="a3"/>
    <w:semiHidden/>
    <w:rsid w:val="001D15DE"/>
    <w:rPr>
      <w:sz w:val="20"/>
      <w:szCs w:val="20"/>
    </w:rPr>
  </w:style>
  <w:style w:type="character" w:styleId="a5">
    <w:name w:val="footnote reference"/>
    <w:aliases w:val="Footnote Reference"/>
    <w:basedOn w:val="a0"/>
    <w:uiPriority w:val="99"/>
    <w:semiHidden/>
    <w:unhideWhenUsed/>
    <w:rsid w:val="001D15DE"/>
    <w:rPr>
      <w:vertAlign w:val="superscript"/>
    </w:rPr>
  </w:style>
  <w:style w:type="paragraph" w:styleId="a6">
    <w:name w:val="List Paragraph"/>
    <w:basedOn w:val="a"/>
    <w:uiPriority w:val="34"/>
    <w:qFormat/>
    <w:rsid w:val="0093632B"/>
    <w:pPr>
      <w:ind w:left="720"/>
      <w:contextualSpacing/>
    </w:pPr>
  </w:style>
  <w:style w:type="paragraph" w:styleId="a7">
    <w:name w:val="header"/>
    <w:basedOn w:val="a"/>
    <w:link w:val="a8"/>
    <w:uiPriority w:val="99"/>
    <w:unhideWhenUsed/>
    <w:rsid w:val="0009311D"/>
    <w:pPr>
      <w:tabs>
        <w:tab w:val="center" w:pos="4153"/>
        <w:tab w:val="right" w:pos="8306"/>
      </w:tabs>
      <w:spacing w:after="0" w:line="240" w:lineRule="auto"/>
    </w:pPr>
  </w:style>
  <w:style w:type="character" w:customStyle="1" w:styleId="a8">
    <w:name w:val="כותרת עליונה תו"/>
    <w:basedOn w:val="a0"/>
    <w:link w:val="a7"/>
    <w:uiPriority w:val="99"/>
    <w:rsid w:val="0009311D"/>
  </w:style>
  <w:style w:type="paragraph" w:styleId="a9">
    <w:name w:val="footer"/>
    <w:basedOn w:val="a"/>
    <w:link w:val="aa"/>
    <w:uiPriority w:val="99"/>
    <w:unhideWhenUsed/>
    <w:rsid w:val="0009311D"/>
    <w:pPr>
      <w:tabs>
        <w:tab w:val="center" w:pos="4153"/>
        <w:tab w:val="right" w:pos="8306"/>
      </w:tabs>
      <w:spacing w:after="0" w:line="240" w:lineRule="auto"/>
    </w:pPr>
  </w:style>
  <w:style w:type="character" w:customStyle="1" w:styleId="aa">
    <w:name w:val="כותרת תחתונה תו"/>
    <w:basedOn w:val="a0"/>
    <w:link w:val="a9"/>
    <w:uiPriority w:val="99"/>
    <w:rsid w:val="0009311D"/>
  </w:style>
  <w:style w:type="paragraph" w:customStyle="1" w:styleId="P00">
    <w:name w:val="P00"/>
    <w:rsid w:val="00CB670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CB6704"/>
    <w:rPr>
      <w:rFonts w:ascii="Times New Roman" w:hAnsi="Times New Roman" w:cs="Times New Roman"/>
      <w:sz w:val="32"/>
      <w:szCs w:val="32"/>
    </w:rPr>
  </w:style>
  <w:style w:type="paragraph" w:customStyle="1" w:styleId="P22">
    <w:name w:val="P22"/>
    <w:basedOn w:val="P00"/>
    <w:rsid w:val="00CB6704"/>
    <w:pPr>
      <w:tabs>
        <w:tab w:val="clear" w:pos="624"/>
        <w:tab w:val="clear" w:pos="1021"/>
      </w:tabs>
      <w:ind w:right="1021"/>
    </w:pPr>
  </w:style>
  <w:style w:type="paragraph" w:customStyle="1" w:styleId="P44">
    <w:name w:val="P44"/>
    <w:basedOn w:val="P00"/>
    <w:rsid w:val="00CB6704"/>
    <w:pPr>
      <w:tabs>
        <w:tab w:val="clear" w:pos="624"/>
        <w:tab w:val="clear" w:pos="1021"/>
        <w:tab w:val="clear" w:pos="1474"/>
        <w:tab w:val="clear" w:pos="1928"/>
      </w:tabs>
      <w:ind w:right="1928"/>
    </w:pPr>
  </w:style>
  <w:style w:type="paragraph" w:customStyle="1" w:styleId="P33">
    <w:name w:val="P33"/>
    <w:basedOn w:val="P00"/>
    <w:rsid w:val="00CB6704"/>
    <w:pPr>
      <w:tabs>
        <w:tab w:val="clear" w:pos="624"/>
        <w:tab w:val="clear" w:pos="1021"/>
        <w:tab w:val="clear" w:pos="1474"/>
      </w:tabs>
      <w:ind w:right="1474"/>
    </w:pPr>
  </w:style>
  <w:style w:type="paragraph" w:customStyle="1" w:styleId="P03">
    <w:name w:val="P03"/>
    <w:basedOn w:val="P00"/>
    <w:rsid w:val="00D9533A"/>
    <w:pPr>
      <w:ind w:right="1474" w:hanging="1474"/>
    </w:pPr>
  </w:style>
  <w:style w:type="table" w:styleId="ab">
    <w:name w:val="Table Grid"/>
    <w:basedOn w:val="a1"/>
    <w:uiPriority w:val="39"/>
    <w:rsid w:val="00EF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P00"/>
    <w:rsid w:val="00574A8D"/>
    <w:pPr>
      <w:tabs>
        <w:tab w:val="clear" w:pos="624"/>
      </w:tabs>
      <w:ind w:right="624"/>
    </w:pPr>
  </w:style>
  <w:style w:type="paragraph" w:styleId="ac">
    <w:name w:val="Balloon Text"/>
    <w:basedOn w:val="a"/>
    <w:link w:val="ad"/>
    <w:uiPriority w:val="99"/>
    <w:semiHidden/>
    <w:unhideWhenUsed/>
    <w:rsid w:val="00696406"/>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696406"/>
    <w:rPr>
      <w:rFonts w:ascii="Tahoma" w:hAnsi="Tahoma" w:cs="Tahoma"/>
      <w:sz w:val="18"/>
      <w:szCs w:val="18"/>
    </w:rPr>
  </w:style>
  <w:style w:type="character" w:styleId="Hyperlink">
    <w:name w:val="Hyperlink"/>
    <w:basedOn w:val="a0"/>
    <w:uiPriority w:val="99"/>
    <w:unhideWhenUsed/>
    <w:rsid w:val="000A5641"/>
    <w:rPr>
      <w:color w:val="0563C1" w:themeColor="hyperlink"/>
      <w:u w:val="single"/>
    </w:rPr>
  </w:style>
  <w:style w:type="character" w:styleId="FollowedHyperlink">
    <w:name w:val="FollowedHyperlink"/>
    <w:basedOn w:val="a0"/>
    <w:uiPriority w:val="99"/>
    <w:semiHidden/>
    <w:unhideWhenUsed/>
    <w:rsid w:val="000A5641"/>
    <w:rPr>
      <w:color w:val="954F72" w:themeColor="followedHyperlink"/>
      <w:u w:val="single"/>
    </w:rPr>
  </w:style>
  <w:style w:type="character" w:styleId="ae">
    <w:name w:val="annotation reference"/>
    <w:basedOn w:val="a0"/>
    <w:uiPriority w:val="99"/>
    <w:semiHidden/>
    <w:unhideWhenUsed/>
    <w:rsid w:val="00484104"/>
    <w:rPr>
      <w:sz w:val="16"/>
      <w:szCs w:val="16"/>
    </w:rPr>
  </w:style>
  <w:style w:type="paragraph" w:styleId="af">
    <w:name w:val="annotation text"/>
    <w:basedOn w:val="a"/>
    <w:link w:val="af0"/>
    <w:uiPriority w:val="99"/>
    <w:unhideWhenUsed/>
    <w:rsid w:val="00484104"/>
    <w:pPr>
      <w:spacing w:line="240" w:lineRule="auto"/>
    </w:pPr>
    <w:rPr>
      <w:sz w:val="20"/>
      <w:szCs w:val="20"/>
    </w:rPr>
  </w:style>
  <w:style w:type="character" w:customStyle="1" w:styleId="af0">
    <w:name w:val="טקסט הערה תו"/>
    <w:basedOn w:val="a0"/>
    <w:link w:val="af"/>
    <w:uiPriority w:val="99"/>
    <w:rsid w:val="00484104"/>
    <w:rPr>
      <w:sz w:val="20"/>
      <w:szCs w:val="20"/>
    </w:rPr>
  </w:style>
  <w:style w:type="paragraph" w:styleId="af1">
    <w:name w:val="annotation subject"/>
    <w:basedOn w:val="af"/>
    <w:next w:val="af"/>
    <w:link w:val="af2"/>
    <w:uiPriority w:val="99"/>
    <w:semiHidden/>
    <w:unhideWhenUsed/>
    <w:rsid w:val="00484104"/>
    <w:rPr>
      <w:b/>
      <w:bCs/>
    </w:rPr>
  </w:style>
  <w:style w:type="character" w:customStyle="1" w:styleId="af2">
    <w:name w:val="נושא הערה תו"/>
    <w:basedOn w:val="af0"/>
    <w:link w:val="af1"/>
    <w:uiPriority w:val="99"/>
    <w:semiHidden/>
    <w:rsid w:val="00484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ndex.justice.gov.il/Units/RashamHaptentim/legalinfo/notice/hodaatikun1025712.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9374-693A-4599-B66C-99FEB9F1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4514</Words>
  <Characters>22571</Characters>
  <Application>Microsoft Office Word</Application>
  <DocSecurity>4</DocSecurity>
  <Lines>188</Lines>
  <Paragraphs>54</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27031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ניצן רוזנברג</dc:creator>
  <cp:lastModifiedBy>עידן פז</cp:lastModifiedBy>
  <cp:revision>2</cp:revision>
  <cp:lastPrinted>2015-08-02T09:36:00Z</cp:lastPrinted>
  <dcterms:created xsi:type="dcterms:W3CDTF">2015-08-02T11:31:00Z</dcterms:created>
  <dcterms:modified xsi:type="dcterms:W3CDTF">2015-08-02T11:31:00Z</dcterms:modified>
</cp:coreProperties>
</file>