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3D" w:rsidRPr="00BD0B05" w:rsidRDefault="003776B9" w:rsidP="00937C3D">
      <w:pPr>
        <w:spacing w:after="0" w:line="240" w:lineRule="auto"/>
        <w:jc w:val="righ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י"ז</w:t>
      </w:r>
      <w:r w:rsidR="00937C3D" w:rsidRPr="00BD0B05">
        <w:rPr>
          <w:rFonts w:cs="David" w:hint="cs"/>
          <w:sz w:val="24"/>
          <w:szCs w:val="24"/>
          <w:rtl/>
        </w:rPr>
        <w:t xml:space="preserve"> בסיוון </w:t>
      </w:r>
      <w:proofErr w:type="spellStart"/>
      <w:r w:rsidR="00937C3D" w:rsidRPr="00BD0B05">
        <w:rPr>
          <w:rFonts w:cs="David" w:hint="cs"/>
          <w:sz w:val="24"/>
          <w:szCs w:val="24"/>
          <w:rtl/>
        </w:rPr>
        <w:t>התשע"ה</w:t>
      </w:r>
      <w:proofErr w:type="spellEnd"/>
    </w:p>
    <w:p w:rsidR="00937C3D" w:rsidRPr="00BD0B05" w:rsidRDefault="003776B9" w:rsidP="00937C3D">
      <w:pPr>
        <w:spacing w:after="0" w:line="240" w:lineRule="auto"/>
        <w:jc w:val="righ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4</w:t>
      </w:r>
      <w:r w:rsidR="00937C3D" w:rsidRPr="00BD0B05">
        <w:rPr>
          <w:rFonts w:cs="David" w:hint="cs"/>
          <w:sz w:val="24"/>
          <w:szCs w:val="24"/>
          <w:rtl/>
        </w:rPr>
        <w:t xml:space="preserve"> ביוני 2015</w:t>
      </w:r>
    </w:p>
    <w:p w:rsidR="00937C3D" w:rsidRPr="00BD0B05" w:rsidRDefault="00937C3D" w:rsidP="00937C3D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BD0B05">
        <w:rPr>
          <w:rFonts w:cs="David" w:hint="cs"/>
          <w:sz w:val="24"/>
          <w:szCs w:val="24"/>
          <w:u w:val="single"/>
          <w:rtl/>
        </w:rPr>
        <w:t>אל</w:t>
      </w:r>
      <w:r w:rsidRPr="00BD0B05">
        <w:rPr>
          <w:rFonts w:cs="David" w:hint="cs"/>
          <w:sz w:val="24"/>
          <w:szCs w:val="24"/>
          <w:rtl/>
        </w:rPr>
        <w:t>: חברי ועדת החוקה, חוק ומשפט</w:t>
      </w:r>
    </w:p>
    <w:p w:rsidR="00937C3D" w:rsidRPr="00BD0B05" w:rsidRDefault="00937C3D" w:rsidP="00937C3D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BD0B05">
        <w:rPr>
          <w:rFonts w:cs="David" w:hint="cs"/>
          <w:sz w:val="24"/>
          <w:szCs w:val="24"/>
          <w:u w:val="single"/>
          <w:rtl/>
        </w:rPr>
        <w:t>מאת</w:t>
      </w:r>
      <w:r w:rsidRPr="00BD0B05">
        <w:rPr>
          <w:rFonts w:cs="David" w:hint="cs"/>
          <w:sz w:val="24"/>
          <w:szCs w:val="24"/>
          <w:rtl/>
        </w:rPr>
        <w:t>: הייעוץ המשפטי לוועדה</w:t>
      </w:r>
    </w:p>
    <w:p w:rsidR="00937C3D" w:rsidRPr="00BD0B05" w:rsidRDefault="00937C3D" w:rsidP="00937C3D">
      <w:pPr>
        <w:spacing w:after="0" w:line="240" w:lineRule="auto"/>
        <w:jc w:val="both"/>
        <w:rPr>
          <w:rFonts w:cs="David"/>
          <w:rtl/>
        </w:rPr>
      </w:pPr>
    </w:p>
    <w:p w:rsidR="00937C3D" w:rsidRPr="00BD0B05" w:rsidRDefault="00937C3D" w:rsidP="00937C3D">
      <w:pPr>
        <w:spacing w:after="0" w:line="240" w:lineRule="auto"/>
        <w:jc w:val="both"/>
        <w:rPr>
          <w:rFonts w:cs="David"/>
          <w:rtl/>
        </w:rPr>
      </w:pPr>
    </w:p>
    <w:p w:rsidR="00937C3D" w:rsidRPr="008A34D5" w:rsidRDefault="00937C3D" w:rsidP="00937C3D">
      <w:pPr>
        <w:spacing w:after="240" w:line="24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BD0B05">
        <w:rPr>
          <w:rFonts w:cs="David" w:hint="cs"/>
          <w:b/>
          <w:bCs/>
          <w:sz w:val="28"/>
          <w:szCs w:val="28"/>
          <w:u w:val="single"/>
          <w:rtl/>
        </w:rPr>
        <w:t>תקנות חובת המכרזים (העדפת תוצרת הארץ) (הוראת שעה), התשע"ה-2015</w:t>
      </w:r>
    </w:p>
    <w:p w:rsidR="00937C3D" w:rsidRPr="008A34D5" w:rsidRDefault="00937C3D" w:rsidP="008A05B5">
      <w:pPr>
        <w:spacing w:after="120"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8A34D5">
        <w:rPr>
          <w:rFonts w:cs="David" w:hint="cs"/>
          <w:b/>
          <w:bCs/>
          <w:sz w:val="24"/>
          <w:szCs w:val="24"/>
          <w:u w:val="single"/>
          <w:rtl/>
        </w:rPr>
        <w:t>כללי</w:t>
      </w:r>
    </w:p>
    <w:p w:rsidR="00AF5492" w:rsidRPr="008A34D5" w:rsidRDefault="00324034" w:rsidP="00E36C76">
      <w:pPr>
        <w:autoSpaceDE w:val="0"/>
        <w:autoSpaceDN w:val="0"/>
        <w:spacing w:after="60" w:line="360" w:lineRule="auto"/>
        <w:jc w:val="both"/>
        <w:rPr>
          <w:rFonts w:cs="David"/>
          <w:sz w:val="24"/>
          <w:szCs w:val="24"/>
          <w:rtl/>
        </w:rPr>
      </w:pPr>
      <w:r w:rsidRPr="008A34D5">
        <w:rPr>
          <w:rFonts w:cs="David" w:hint="cs"/>
          <w:sz w:val="24"/>
          <w:szCs w:val="24"/>
          <w:rtl/>
        </w:rPr>
        <w:t xml:space="preserve">סעיף 2(א) לחוק חובת המכרזים, התשנ"ב-1992 (להלן </w:t>
      </w:r>
      <w:r w:rsidRPr="008A34D5">
        <w:rPr>
          <w:rFonts w:cs="David"/>
          <w:sz w:val="24"/>
          <w:szCs w:val="24"/>
          <w:rtl/>
        </w:rPr>
        <w:t>–</w:t>
      </w:r>
      <w:r w:rsidRPr="008A34D5">
        <w:rPr>
          <w:rFonts w:cs="David" w:hint="cs"/>
          <w:sz w:val="24"/>
          <w:szCs w:val="24"/>
          <w:rtl/>
        </w:rPr>
        <w:t xml:space="preserve"> "החוק") קובע</w:t>
      </w:r>
      <w:r w:rsidR="00AF5492" w:rsidRPr="008A34D5">
        <w:rPr>
          <w:rFonts w:cs="David" w:hint="cs"/>
          <w:sz w:val="24"/>
          <w:szCs w:val="24"/>
          <w:rtl/>
        </w:rPr>
        <w:t xml:space="preserve"> </w:t>
      </w:r>
      <w:r w:rsidR="002B754F" w:rsidRPr="008A34D5">
        <w:rPr>
          <w:rFonts w:cs="David" w:hint="cs"/>
          <w:sz w:val="24"/>
          <w:szCs w:val="24"/>
          <w:rtl/>
        </w:rPr>
        <w:t xml:space="preserve">את הכלל הבסיסי בדיני </w:t>
      </w:r>
      <w:r w:rsidR="00AF5492" w:rsidRPr="008A34D5">
        <w:rPr>
          <w:rFonts w:cs="David" w:hint="cs"/>
          <w:sz w:val="24"/>
          <w:szCs w:val="24"/>
          <w:rtl/>
        </w:rPr>
        <w:t>מכרזים, ולפיו</w:t>
      </w:r>
      <w:r w:rsidRPr="008A34D5">
        <w:rPr>
          <w:rFonts w:cs="David" w:hint="cs"/>
          <w:sz w:val="24"/>
          <w:szCs w:val="24"/>
          <w:rtl/>
        </w:rPr>
        <w:t xml:space="preserve"> המדינה</w:t>
      </w:r>
      <w:r w:rsidR="00AF5492" w:rsidRPr="008A34D5">
        <w:rPr>
          <w:rFonts w:cs="David" w:hint="cs"/>
          <w:sz w:val="24"/>
          <w:szCs w:val="24"/>
          <w:rtl/>
        </w:rPr>
        <w:t>, תאגיד ממשלתי, מועצה דתית, קופ</w:t>
      </w:r>
      <w:bookmarkStart w:id="0" w:name="_GoBack"/>
      <w:bookmarkEnd w:id="0"/>
      <w:r w:rsidR="00AF5492" w:rsidRPr="008A34D5">
        <w:rPr>
          <w:rFonts w:cs="David" w:hint="cs"/>
          <w:sz w:val="24"/>
          <w:szCs w:val="24"/>
          <w:rtl/>
        </w:rPr>
        <w:t>ת חולים ומוסד להשכלה גבוהה, לא יתקשרו בחוזה לרכישת טובין או שירותים, אלא על פי מכרז פומבי הנותן לכל אדם הזדמנות שווה להשתתף בו.</w:t>
      </w:r>
      <w:r w:rsidR="005152AA" w:rsidRPr="008A34D5">
        <w:rPr>
          <w:rFonts w:cs="David" w:hint="cs"/>
          <w:sz w:val="24"/>
          <w:szCs w:val="24"/>
          <w:rtl/>
        </w:rPr>
        <w:t xml:space="preserve"> </w:t>
      </w:r>
    </w:p>
    <w:p w:rsidR="001D05B1" w:rsidRPr="008A34D5" w:rsidRDefault="001D05B1" w:rsidP="00E36C76">
      <w:pPr>
        <w:autoSpaceDE w:val="0"/>
        <w:autoSpaceDN w:val="0"/>
        <w:spacing w:after="60" w:line="360" w:lineRule="auto"/>
        <w:jc w:val="both"/>
        <w:rPr>
          <w:rFonts w:cs="David"/>
          <w:sz w:val="24"/>
          <w:szCs w:val="24"/>
          <w:rtl/>
        </w:rPr>
      </w:pPr>
    </w:p>
    <w:p w:rsidR="001D05B1" w:rsidRPr="008A34D5" w:rsidRDefault="001D05B1" w:rsidP="008A05B5">
      <w:pPr>
        <w:autoSpaceDE w:val="0"/>
        <w:autoSpaceDN w:val="0"/>
        <w:spacing w:after="120"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8A34D5">
        <w:rPr>
          <w:rFonts w:cs="David" w:hint="cs"/>
          <w:b/>
          <w:bCs/>
          <w:sz w:val="24"/>
          <w:szCs w:val="24"/>
          <w:u w:val="single"/>
          <w:rtl/>
        </w:rPr>
        <w:t>העדפת תוצרת הארץ</w:t>
      </w:r>
    </w:p>
    <w:p w:rsidR="003E115E" w:rsidRPr="008A34D5" w:rsidRDefault="00D85130" w:rsidP="00E36C76">
      <w:pPr>
        <w:autoSpaceDE w:val="0"/>
        <w:autoSpaceDN w:val="0"/>
        <w:spacing w:after="60" w:line="360" w:lineRule="auto"/>
        <w:jc w:val="both"/>
        <w:rPr>
          <w:rFonts w:cs="David"/>
          <w:sz w:val="24"/>
          <w:szCs w:val="24"/>
          <w:rtl/>
        </w:rPr>
      </w:pPr>
      <w:r w:rsidRPr="008A34D5">
        <w:rPr>
          <w:rFonts w:cs="David" w:hint="cs"/>
          <w:sz w:val="24"/>
          <w:szCs w:val="24"/>
          <w:rtl/>
        </w:rPr>
        <w:t xml:space="preserve">עם זאת, סעיף 3א(א)(1) לחוק מתיר לממשלה לקבוע הוראות בעניין העדפה של תוצרת הארץ במכרזים. </w:t>
      </w:r>
      <w:r w:rsidR="000B5D23" w:rsidRPr="008A34D5">
        <w:rPr>
          <w:rFonts w:cs="David" w:hint="cs"/>
          <w:sz w:val="24"/>
          <w:szCs w:val="24"/>
          <w:rtl/>
        </w:rPr>
        <w:t xml:space="preserve">מכוח </w:t>
      </w:r>
      <w:r w:rsidR="004B14D7" w:rsidRPr="008A34D5">
        <w:rPr>
          <w:rFonts w:cs="David" w:hint="cs"/>
          <w:sz w:val="24"/>
          <w:szCs w:val="24"/>
          <w:rtl/>
        </w:rPr>
        <w:t>ה</w:t>
      </w:r>
      <w:r w:rsidR="001D05B1" w:rsidRPr="008A34D5">
        <w:rPr>
          <w:rFonts w:cs="David" w:hint="cs"/>
          <w:sz w:val="24"/>
          <w:szCs w:val="24"/>
          <w:rtl/>
        </w:rPr>
        <w:t xml:space="preserve">סעיף </w:t>
      </w:r>
      <w:r w:rsidRPr="008A34D5">
        <w:rPr>
          <w:rFonts w:cs="David" w:hint="cs"/>
          <w:sz w:val="24"/>
          <w:szCs w:val="24"/>
          <w:rtl/>
        </w:rPr>
        <w:t>האמור</w:t>
      </w:r>
      <w:r w:rsidR="001D05B1" w:rsidRPr="008A34D5">
        <w:rPr>
          <w:rFonts w:cs="David" w:hint="cs"/>
          <w:sz w:val="24"/>
          <w:szCs w:val="24"/>
          <w:rtl/>
        </w:rPr>
        <w:t xml:space="preserve">, התקינה הממשלה את </w:t>
      </w:r>
      <w:r w:rsidR="000B5D23" w:rsidRPr="008A34D5">
        <w:rPr>
          <w:rFonts w:cs="David" w:hint="cs"/>
          <w:sz w:val="24"/>
          <w:szCs w:val="24"/>
          <w:rtl/>
        </w:rPr>
        <w:t xml:space="preserve">תקנות חובת המכרזים </w:t>
      </w:r>
      <w:r w:rsidR="000F0A0D" w:rsidRPr="008A34D5">
        <w:rPr>
          <w:rFonts w:cs="David" w:hint="cs"/>
          <w:sz w:val="24"/>
          <w:szCs w:val="24"/>
          <w:rtl/>
        </w:rPr>
        <w:t>(העדפת תוצרת הארץ), התשנ"ה-1995</w:t>
      </w:r>
      <w:r w:rsidR="001D05B1" w:rsidRPr="008A34D5">
        <w:rPr>
          <w:rFonts w:cs="David" w:hint="cs"/>
          <w:sz w:val="24"/>
          <w:szCs w:val="24"/>
          <w:rtl/>
        </w:rPr>
        <w:t xml:space="preserve"> (להלן </w:t>
      </w:r>
      <w:r w:rsidR="001D05B1" w:rsidRPr="008A34D5">
        <w:rPr>
          <w:rFonts w:cs="David"/>
          <w:sz w:val="24"/>
          <w:szCs w:val="24"/>
          <w:rtl/>
        </w:rPr>
        <w:t>–</w:t>
      </w:r>
      <w:r w:rsidR="001D05B1" w:rsidRPr="008A34D5">
        <w:rPr>
          <w:rFonts w:cs="David" w:hint="cs"/>
          <w:sz w:val="24"/>
          <w:szCs w:val="24"/>
          <w:rtl/>
        </w:rPr>
        <w:t xml:space="preserve"> התקנות). </w:t>
      </w:r>
      <w:r w:rsidR="004B14D7" w:rsidRPr="008A34D5">
        <w:rPr>
          <w:rFonts w:cs="David" w:hint="cs"/>
          <w:sz w:val="24"/>
          <w:szCs w:val="24"/>
          <w:rtl/>
        </w:rPr>
        <w:t xml:space="preserve"> </w:t>
      </w:r>
    </w:p>
    <w:p w:rsidR="00003424" w:rsidRPr="008A34D5" w:rsidRDefault="001D05B1" w:rsidP="00E36C76">
      <w:pPr>
        <w:autoSpaceDE w:val="0"/>
        <w:autoSpaceDN w:val="0"/>
        <w:spacing w:after="60" w:line="360" w:lineRule="auto"/>
        <w:jc w:val="both"/>
        <w:rPr>
          <w:rFonts w:cs="David"/>
          <w:sz w:val="24"/>
          <w:szCs w:val="24"/>
          <w:rtl/>
        </w:rPr>
      </w:pPr>
      <w:r w:rsidRPr="008A34D5">
        <w:rPr>
          <w:rFonts w:cs="David" w:hint="cs"/>
          <w:sz w:val="24"/>
          <w:szCs w:val="24"/>
          <w:rtl/>
        </w:rPr>
        <w:t>התקנות קובעות</w:t>
      </w:r>
      <w:r w:rsidR="00003424" w:rsidRPr="008A34D5">
        <w:rPr>
          <w:rFonts w:cs="David" w:hint="cs"/>
          <w:sz w:val="24"/>
          <w:szCs w:val="24"/>
          <w:rtl/>
        </w:rPr>
        <w:t>,</w:t>
      </w:r>
      <w:r w:rsidRPr="008A34D5">
        <w:rPr>
          <w:rFonts w:cs="David" w:hint="cs"/>
          <w:sz w:val="24"/>
          <w:szCs w:val="24"/>
          <w:rtl/>
        </w:rPr>
        <w:t xml:space="preserve"> </w:t>
      </w:r>
      <w:r w:rsidR="003E115E" w:rsidRPr="008A34D5">
        <w:rPr>
          <w:rFonts w:cs="David" w:hint="cs"/>
          <w:sz w:val="24"/>
          <w:szCs w:val="24"/>
          <w:rtl/>
        </w:rPr>
        <w:t xml:space="preserve">כי אם המדינה או תאגיד ממשלתי מפרסמים מכרז לרכישת טובין, </w:t>
      </w:r>
      <w:r w:rsidR="00620DE4" w:rsidRPr="008A34D5">
        <w:rPr>
          <w:rFonts w:cs="David" w:hint="cs"/>
          <w:sz w:val="24"/>
          <w:szCs w:val="24"/>
          <w:rtl/>
        </w:rPr>
        <w:t xml:space="preserve">אחד מהתנאים שייכללו במכרז הוא </w:t>
      </w:r>
      <w:r w:rsidR="003E115E" w:rsidRPr="008A34D5">
        <w:rPr>
          <w:rFonts w:cs="David" w:hint="cs"/>
          <w:sz w:val="24"/>
          <w:szCs w:val="24"/>
          <w:rtl/>
        </w:rPr>
        <w:t>תנאי ש</w:t>
      </w:r>
      <w:r w:rsidR="00620DE4" w:rsidRPr="008A34D5">
        <w:rPr>
          <w:rFonts w:cs="David" w:hint="cs"/>
          <w:sz w:val="24"/>
          <w:szCs w:val="24"/>
          <w:rtl/>
        </w:rPr>
        <w:t>מ</w:t>
      </w:r>
      <w:r w:rsidR="003E115E" w:rsidRPr="008A34D5">
        <w:rPr>
          <w:rFonts w:cs="David" w:hint="cs"/>
          <w:sz w:val="24"/>
          <w:szCs w:val="24"/>
          <w:rtl/>
        </w:rPr>
        <w:t>עניק העדפה להצעות לרכישת טובין מתוצרת הארץ</w:t>
      </w:r>
      <w:r w:rsidR="00003424" w:rsidRPr="008A34D5">
        <w:rPr>
          <w:rFonts w:cs="David" w:hint="cs"/>
          <w:sz w:val="24"/>
          <w:szCs w:val="24"/>
          <w:rtl/>
        </w:rPr>
        <w:t>.</w:t>
      </w:r>
      <w:r w:rsidR="00620DE4" w:rsidRPr="008A34D5">
        <w:rPr>
          <w:rFonts w:cs="David" w:hint="cs"/>
          <w:sz w:val="24"/>
          <w:szCs w:val="24"/>
          <w:rtl/>
        </w:rPr>
        <w:t xml:space="preserve"> </w:t>
      </w:r>
      <w:r w:rsidR="00CA7287" w:rsidRPr="008A34D5">
        <w:rPr>
          <w:rFonts w:cs="David" w:hint="cs"/>
          <w:sz w:val="24"/>
          <w:szCs w:val="24"/>
          <w:rtl/>
        </w:rPr>
        <w:t xml:space="preserve">לפי תנאי זה, </w:t>
      </w:r>
      <w:r w:rsidR="00F237E1" w:rsidRPr="008A34D5">
        <w:rPr>
          <w:rFonts w:cs="David" w:hint="cs"/>
          <w:sz w:val="24"/>
          <w:szCs w:val="24"/>
          <w:rtl/>
        </w:rPr>
        <w:t xml:space="preserve">יועדפו הצעות של </w:t>
      </w:r>
      <w:r w:rsidR="00003424" w:rsidRPr="008A34D5">
        <w:rPr>
          <w:rFonts w:cs="David" w:hint="cs"/>
          <w:sz w:val="24"/>
          <w:szCs w:val="24"/>
          <w:rtl/>
        </w:rPr>
        <w:t>טובין מ</w:t>
      </w:r>
      <w:r w:rsidR="00083EA4" w:rsidRPr="008A34D5">
        <w:rPr>
          <w:rFonts w:cs="David" w:hint="cs"/>
          <w:sz w:val="24"/>
          <w:szCs w:val="24"/>
          <w:rtl/>
        </w:rPr>
        <w:t xml:space="preserve">תוצרת הארץ, אם המחיר שלהם אינו </w:t>
      </w:r>
      <w:r w:rsidR="00F237E1" w:rsidRPr="008A34D5">
        <w:rPr>
          <w:rFonts w:cs="David" w:hint="cs"/>
          <w:sz w:val="24"/>
          <w:szCs w:val="24"/>
          <w:rtl/>
        </w:rPr>
        <w:t xml:space="preserve">גבוה </w:t>
      </w:r>
      <w:r w:rsidR="00620DE4" w:rsidRPr="008A34D5">
        <w:rPr>
          <w:rFonts w:cs="David" w:hint="cs"/>
          <w:sz w:val="24"/>
          <w:szCs w:val="24"/>
          <w:rtl/>
        </w:rPr>
        <w:t xml:space="preserve">ב-15% (ובחלק מהמקרים 10%) </w:t>
      </w:r>
      <w:r w:rsidR="00F237E1" w:rsidRPr="008A34D5">
        <w:rPr>
          <w:rFonts w:cs="David" w:hint="cs"/>
          <w:sz w:val="24"/>
          <w:szCs w:val="24"/>
          <w:rtl/>
        </w:rPr>
        <w:t>מ</w:t>
      </w:r>
      <w:r w:rsidR="00083EA4" w:rsidRPr="008A34D5">
        <w:rPr>
          <w:rFonts w:cs="David" w:hint="cs"/>
          <w:sz w:val="24"/>
          <w:szCs w:val="24"/>
          <w:rtl/>
        </w:rPr>
        <w:t xml:space="preserve">מחיר </w:t>
      </w:r>
      <w:r w:rsidR="004B14D7" w:rsidRPr="008A34D5">
        <w:rPr>
          <w:rFonts w:cs="David" w:hint="cs"/>
          <w:sz w:val="24"/>
          <w:szCs w:val="24"/>
          <w:rtl/>
        </w:rPr>
        <w:t>ה</w:t>
      </w:r>
      <w:r w:rsidR="00083EA4" w:rsidRPr="008A34D5">
        <w:rPr>
          <w:rFonts w:cs="David" w:hint="cs"/>
          <w:sz w:val="24"/>
          <w:szCs w:val="24"/>
          <w:rtl/>
        </w:rPr>
        <w:t xml:space="preserve">הצעות </w:t>
      </w:r>
      <w:r w:rsidR="00F237E1" w:rsidRPr="008A34D5">
        <w:rPr>
          <w:rFonts w:cs="David" w:hint="cs"/>
          <w:sz w:val="24"/>
          <w:szCs w:val="24"/>
          <w:rtl/>
        </w:rPr>
        <w:t>שאינן מתוצרת הארץ.</w:t>
      </w:r>
      <w:r w:rsidR="00083EA4" w:rsidRPr="008A34D5">
        <w:rPr>
          <w:rFonts w:cs="David" w:hint="cs"/>
          <w:sz w:val="24"/>
          <w:szCs w:val="24"/>
          <w:rtl/>
        </w:rPr>
        <w:t xml:space="preserve"> </w:t>
      </w:r>
    </w:p>
    <w:p w:rsidR="00D85130" w:rsidRPr="008A34D5" w:rsidRDefault="009328C7" w:rsidP="00E36C76">
      <w:pPr>
        <w:autoSpaceDE w:val="0"/>
        <w:autoSpaceDN w:val="0"/>
        <w:spacing w:after="60" w:line="360" w:lineRule="auto"/>
        <w:jc w:val="both"/>
        <w:rPr>
          <w:rFonts w:cs="David"/>
          <w:sz w:val="24"/>
          <w:szCs w:val="24"/>
          <w:rtl/>
        </w:rPr>
      </w:pPr>
      <w:r w:rsidRPr="008A34D5">
        <w:rPr>
          <w:rFonts w:cs="David" w:hint="cs"/>
          <w:sz w:val="24"/>
          <w:szCs w:val="24"/>
          <w:rtl/>
        </w:rPr>
        <w:t xml:space="preserve">לעניין זה, </w:t>
      </w:r>
      <w:r w:rsidR="00520B3B" w:rsidRPr="008A34D5">
        <w:rPr>
          <w:rFonts w:cs="David" w:hint="cs"/>
          <w:sz w:val="24"/>
          <w:szCs w:val="24"/>
          <w:rtl/>
        </w:rPr>
        <w:t xml:space="preserve">קובעות </w:t>
      </w:r>
      <w:r w:rsidRPr="008A34D5">
        <w:rPr>
          <w:rFonts w:cs="David" w:hint="cs"/>
          <w:sz w:val="24"/>
          <w:szCs w:val="24"/>
          <w:rtl/>
        </w:rPr>
        <w:t>התקנות כי כדי שטובין ייחשבו כטובין "מתוצרת הארץ"</w:t>
      </w:r>
      <w:r w:rsidR="0047549E" w:rsidRPr="008A34D5">
        <w:rPr>
          <w:rFonts w:cs="David" w:hint="cs"/>
          <w:sz w:val="24"/>
          <w:szCs w:val="24"/>
          <w:rtl/>
        </w:rPr>
        <w:t>,</w:t>
      </w:r>
      <w:r w:rsidRPr="008A34D5">
        <w:rPr>
          <w:rFonts w:cs="David" w:hint="cs"/>
          <w:sz w:val="24"/>
          <w:szCs w:val="24"/>
          <w:rtl/>
        </w:rPr>
        <w:t xml:space="preserve"> צריך שהמרכיב "הישראלי" </w:t>
      </w:r>
      <w:r w:rsidR="0047549E" w:rsidRPr="008A34D5">
        <w:rPr>
          <w:rFonts w:cs="David" w:hint="cs"/>
          <w:sz w:val="24"/>
          <w:szCs w:val="24"/>
          <w:rtl/>
        </w:rPr>
        <w:t xml:space="preserve">בהצעה יהיה </w:t>
      </w:r>
      <w:r w:rsidRPr="008A34D5">
        <w:rPr>
          <w:rFonts w:cs="David" w:hint="cs"/>
          <w:sz w:val="24"/>
          <w:szCs w:val="24"/>
          <w:rtl/>
        </w:rPr>
        <w:t>לפחות 35% ממחיר ההצעה</w:t>
      </w:r>
      <w:r w:rsidR="00D85130" w:rsidRPr="008A34D5">
        <w:rPr>
          <w:rFonts w:cs="David" w:hint="cs"/>
          <w:sz w:val="24"/>
          <w:szCs w:val="24"/>
          <w:rtl/>
        </w:rPr>
        <w:t>.</w:t>
      </w:r>
    </w:p>
    <w:p w:rsidR="009328C7" w:rsidRPr="008A34D5" w:rsidRDefault="009328C7" w:rsidP="00E36C76">
      <w:pPr>
        <w:autoSpaceDE w:val="0"/>
        <w:autoSpaceDN w:val="0"/>
        <w:spacing w:after="60" w:line="360" w:lineRule="auto"/>
        <w:jc w:val="both"/>
        <w:rPr>
          <w:rFonts w:cs="David"/>
          <w:sz w:val="24"/>
          <w:szCs w:val="24"/>
          <w:rtl/>
        </w:rPr>
      </w:pPr>
      <w:r w:rsidRPr="008A34D5">
        <w:rPr>
          <w:rFonts w:cs="David" w:hint="cs"/>
          <w:sz w:val="24"/>
          <w:szCs w:val="24"/>
          <w:rtl/>
        </w:rPr>
        <w:t xml:space="preserve"> </w:t>
      </w:r>
    </w:p>
    <w:p w:rsidR="007D5853" w:rsidRPr="008A34D5" w:rsidRDefault="007D5853" w:rsidP="008A05B5">
      <w:pPr>
        <w:autoSpaceDE w:val="0"/>
        <w:autoSpaceDN w:val="0"/>
        <w:spacing w:after="120"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8A34D5">
        <w:rPr>
          <w:rFonts w:cs="David" w:hint="cs"/>
          <w:b/>
          <w:bCs/>
          <w:sz w:val="24"/>
          <w:szCs w:val="24"/>
          <w:u w:val="single"/>
          <w:rtl/>
        </w:rPr>
        <w:t>התיקונים המוצעים</w:t>
      </w:r>
    </w:p>
    <w:p w:rsidR="00F7376B" w:rsidRPr="008A34D5" w:rsidRDefault="00F7376B" w:rsidP="00E36C76">
      <w:pPr>
        <w:autoSpaceDE w:val="0"/>
        <w:autoSpaceDN w:val="0"/>
        <w:spacing w:after="60" w:line="360" w:lineRule="auto"/>
        <w:jc w:val="both"/>
        <w:rPr>
          <w:rFonts w:cs="David"/>
          <w:sz w:val="24"/>
          <w:szCs w:val="24"/>
          <w:rtl/>
        </w:rPr>
      </w:pPr>
      <w:r w:rsidRPr="008A34D5">
        <w:rPr>
          <w:rFonts w:cs="David" w:hint="cs"/>
          <w:sz w:val="24"/>
          <w:szCs w:val="24"/>
          <w:rtl/>
        </w:rPr>
        <w:t xml:space="preserve">בעקבות החלטות הממשלה על תכנית אסטרטגית רב שנתית לפיתוח יישובי עוטף עזה, מוצע לתקן את התקנות, באופן </w:t>
      </w:r>
      <w:r w:rsidR="001004C7" w:rsidRPr="008A34D5">
        <w:rPr>
          <w:rFonts w:cs="David" w:hint="cs"/>
          <w:sz w:val="24"/>
          <w:szCs w:val="24"/>
          <w:rtl/>
        </w:rPr>
        <w:t>ש</w:t>
      </w:r>
      <w:r w:rsidRPr="008A34D5">
        <w:rPr>
          <w:rFonts w:cs="David" w:hint="cs"/>
          <w:sz w:val="24"/>
          <w:szCs w:val="24"/>
          <w:rtl/>
        </w:rPr>
        <w:t xml:space="preserve">ליצרנים המייצרים טובין מתוצרת הארץ באזור עוטף עזה </w:t>
      </w:r>
      <w:r w:rsidR="001004C7" w:rsidRPr="008A34D5">
        <w:rPr>
          <w:rFonts w:cs="David" w:hint="cs"/>
          <w:sz w:val="24"/>
          <w:szCs w:val="24"/>
          <w:rtl/>
        </w:rPr>
        <w:t xml:space="preserve">תינתן </w:t>
      </w:r>
      <w:r w:rsidRPr="008A34D5">
        <w:rPr>
          <w:rFonts w:cs="David" w:hint="cs"/>
          <w:sz w:val="24"/>
          <w:szCs w:val="24"/>
          <w:rtl/>
        </w:rPr>
        <w:t>העדפה נוספת מעבר לזו</w:t>
      </w:r>
      <w:r w:rsidR="001004C7" w:rsidRPr="008A34D5">
        <w:rPr>
          <w:rFonts w:cs="David" w:hint="cs"/>
          <w:sz w:val="24"/>
          <w:szCs w:val="24"/>
          <w:rtl/>
        </w:rPr>
        <w:t xml:space="preserve"> </w:t>
      </w:r>
      <w:r w:rsidRPr="008A34D5">
        <w:rPr>
          <w:rFonts w:cs="David" w:hint="cs"/>
          <w:sz w:val="24"/>
          <w:szCs w:val="24"/>
          <w:rtl/>
        </w:rPr>
        <w:t>הקבועה בתקנות</w:t>
      </w:r>
      <w:r w:rsidR="00520B3B" w:rsidRPr="008A34D5">
        <w:rPr>
          <w:rFonts w:cs="David" w:hint="cs"/>
          <w:sz w:val="24"/>
          <w:szCs w:val="24"/>
          <w:rtl/>
        </w:rPr>
        <w:t>,</w:t>
      </w:r>
      <w:r w:rsidR="001004C7" w:rsidRPr="008A34D5">
        <w:rPr>
          <w:rFonts w:cs="David" w:hint="cs"/>
          <w:sz w:val="24"/>
          <w:szCs w:val="24"/>
          <w:rtl/>
        </w:rPr>
        <w:t xml:space="preserve"> לתקופה של 5 שנים</w:t>
      </w:r>
      <w:r w:rsidRPr="008A34D5">
        <w:rPr>
          <w:rFonts w:cs="David" w:hint="cs"/>
          <w:sz w:val="24"/>
          <w:szCs w:val="24"/>
          <w:rtl/>
        </w:rPr>
        <w:t xml:space="preserve">. </w:t>
      </w:r>
      <w:r w:rsidR="001004C7" w:rsidRPr="008A34D5">
        <w:rPr>
          <w:rFonts w:cs="David" w:hint="cs"/>
          <w:sz w:val="24"/>
          <w:szCs w:val="24"/>
          <w:rtl/>
        </w:rPr>
        <w:t>העדפה זו מתבטאת בעניינים</w:t>
      </w:r>
      <w:r w:rsidR="0053698D" w:rsidRPr="008A34D5">
        <w:rPr>
          <w:rFonts w:cs="David" w:hint="cs"/>
          <w:sz w:val="24"/>
          <w:szCs w:val="24"/>
          <w:rtl/>
        </w:rPr>
        <w:t xml:space="preserve"> הבאים</w:t>
      </w:r>
      <w:r w:rsidR="001004C7" w:rsidRPr="008A34D5">
        <w:rPr>
          <w:rFonts w:cs="David" w:hint="cs"/>
          <w:sz w:val="24"/>
          <w:szCs w:val="24"/>
          <w:rtl/>
        </w:rPr>
        <w:t>:</w:t>
      </w:r>
    </w:p>
    <w:p w:rsidR="001004C7" w:rsidRPr="008A34D5" w:rsidRDefault="001004C7" w:rsidP="00E36C76">
      <w:pPr>
        <w:autoSpaceDE w:val="0"/>
        <w:autoSpaceDN w:val="0"/>
        <w:spacing w:after="60" w:line="360" w:lineRule="auto"/>
        <w:jc w:val="both"/>
        <w:rPr>
          <w:rFonts w:cs="David"/>
          <w:sz w:val="24"/>
          <w:szCs w:val="24"/>
          <w:rtl/>
        </w:rPr>
      </w:pPr>
      <w:r w:rsidRPr="008A34D5">
        <w:rPr>
          <w:rFonts w:cs="David" w:hint="cs"/>
          <w:sz w:val="24"/>
          <w:szCs w:val="24"/>
          <w:rtl/>
        </w:rPr>
        <w:t xml:space="preserve">(1) </w:t>
      </w:r>
      <w:r w:rsidRPr="008A34D5">
        <w:rPr>
          <w:rFonts w:cs="David" w:hint="cs"/>
          <w:sz w:val="24"/>
          <w:szCs w:val="24"/>
          <w:u w:val="single"/>
          <w:rtl/>
        </w:rPr>
        <w:t>היקף ההעדפה</w:t>
      </w:r>
      <w:r w:rsidRPr="008A34D5">
        <w:rPr>
          <w:rFonts w:cs="David" w:hint="cs"/>
          <w:sz w:val="24"/>
          <w:szCs w:val="24"/>
          <w:rtl/>
        </w:rPr>
        <w:t xml:space="preserve"> </w:t>
      </w:r>
      <w:r w:rsidRPr="008A34D5">
        <w:rPr>
          <w:rFonts w:cs="David"/>
          <w:sz w:val="24"/>
          <w:szCs w:val="24"/>
          <w:rtl/>
        </w:rPr>
        <w:t>–</w:t>
      </w:r>
      <w:r w:rsidR="001731C1" w:rsidRPr="008A34D5">
        <w:rPr>
          <w:rFonts w:cs="David" w:hint="cs"/>
          <w:sz w:val="24"/>
          <w:szCs w:val="24"/>
          <w:rtl/>
        </w:rPr>
        <w:t xml:space="preserve"> בעוד </w:t>
      </w:r>
      <w:r w:rsidR="00F01F12" w:rsidRPr="008A34D5">
        <w:rPr>
          <w:rFonts w:cs="David" w:hint="cs"/>
          <w:sz w:val="24"/>
          <w:szCs w:val="24"/>
          <w:rtl/>
        </w:rPr>
        <w:t>ש</w:t>
      </w:r>
      <w:r w:rsidR="001731C1" w:rsidRPr="008A34D5">
        <w:rPr>
          <w:rFonts w:cs="David" w:hint="cs"/>
          <w:sz w:val="24"/>
          <w:szCs w:val="24"/>
          <w:rtl/>
        </w:rPr>
        <w:t xml:space="preserve">טובין מתוצרת הארץ </w:t>
      </w:r>
      <w:r w:rsidR="00F01F12" w:rsidRPr="008A34D5">
        <w:rPr>
          <w:rFonts w:cs="David" w:hint="cs"/>
          <w:sz w:val="24"/>
          <w:szCs w:val="24"/>
          <w:rtl/>
        </w:rPr>
        <w:t xml:space="preserve">זוכים להעדפה באמת המידה של המחיר בשיעור של </w:t>
      </w:r>
      <w:r w:rsidR="001731C1" w:rsidRPr="008A34D5">
        <w:rPr>
          <w:rFonts w:cs="David" w:hint="cs"/>
          <w:sz w:val="24"/>
          <w:szCs w:val="24"/>
          <w:rtl/>
        </w:rPr>
        <w:t xml:space="preserve">15% (ובחלק מהמקרים 10%), לגבי טובין מאזור עוטף עזה </w:t>
      </w:r>
      <w:r w:rsidR="00F01F12" w:rsidRPr="008A34D5">
        <w:rPr>
          <w:rFonts w:cs="David" w:hint="cs"/>
          <w:sz w:val="24"/>
          <w:szCs w:val="24"/>
          <w:rtl/>
        </w:rPr>
        <w:t>ההעדפה תעמוד על 20%.</w:t>
      </w:r>
    </w:p>
    <w:p w:rsidR="00521053" w:rsidRPr="008A34D5" w:rsidRDefault="001004C7" w:rsidP="00E36C76">
      <w:pPr>
        <w:autoSpaceDE w:val="0"/>
        <w:autoSpaceDN w:val="0"/>
        <w:spacing w:after="60" w:line="360" w:lineRule="auto"/>
        <w:jc w:val="both"/>
        <w:rPr>
          <w:rFonts w:cs="David"/>
          <w:sz w:val="24"/>
          <w:szCs w:val="24"/>
          <w:rtl/>
        </w:rPr>
      </w:pPr>
      <w:r w:rsidRPr="008A34D5">
        <w:rPr>
          <w:rFonts w:cs="David" w:hint="cs"/>
          <w:sz w:val="24"/>
          <w:szCs w:val="24"/>
          <w:rtl/>
        </w:rPr>
        <w:t xml:space="preserve">(2) </w:t>
      </w:r>
      <w:r w:rsidRPr="008A34D5">
        <w:rPr>
          <w:rFonts w:cs="David" w:hint="cs"/>
          <w:sz w:val="24"/>
          <w:szCs w:val="24"/>
          <w:u w:val="single"/>
          <w:rtl/>
        </w:rPr>
        <w:t>אופן חישוב "המרכיב הישראלי"</w:t>
      </w:r>
      <w:r w:rsidRPr="008A34D5">
        <w:rPr>
          <w:rFonts w:cs="David" w:hint="cs"/>
          <w:sz w:val="24"/>
          <w:szCs w:val="24"/>
          <w:rtl/>
        </w:rPr>
        <w:t xml:space="preserve"> </w:t>
      </w:r>
      <w:r w:rsidRPr="008A34D5">
        <w:rPr>
          <w:rFonts w:cs="David"/>
          <w:sz w:val="24"/>
          <w:szCs w:val="24"/>
          <w:rtl/>
        </w:rPr>
        <w:t>–</w:t>
      </w:r>
      <w:r w:rsidR="002D593A" w:rsidRPr="008A34D5">
        <w:rPr>
          <w:rFonts w:cs="David" w:hint="cs"/>
          <w:sz w:val="24"/>
          <w:szCs w:val="24"/>
          <w:rtl/>
        </w:rPr>
        <w:t xml:space="preserve"> </w:t>
      </w:r>
      <w:r w:rsidR="00D52A7E" w:rsidRPr="008A34D5">
        <w:rPr>
          <w:rFonts w:cs="David" w:hint="cs"/>
          <w:sz w:val="24"/>
          <w:szCs w:val="24"/>
          <w:rtl/>
        </w:rPr>
        <w:t xml:space="preserve">בטובין מתוצרת הארץ, </w:t>
      </w:r>
      <w:r w:rsidR="00521053" w:rsidRPr="008A34D5">
        <w:rPr>
          <w:rFonts w:cs="David" w:hint="cs"/>
          <w:sz w:val="24"/>
          <w:szCs w:val="24"/>
          <w:rtl/>
        </w:rPr>
        <w:t xml:space="preserve">לא מחשיבים כחלק מהמרכיב </w:t>
      </w:r>
      <w:r w:rsidR="00E5337B" w:rsidRPr="008A34D5">
        <w:rPr>
          <w:rFonts w:cs="David" w:hint="cs"/>
          <w:sz w:val="24"/>
          <w:szCs w:val="24"/>
          <w:rtl/>
        </w:rPr>
        <w:t>"</w:t>
      </w:r>
      <w:r w:rsidR="00521053" w:rsidRPr="008A34D5">
        <w:rPr>
          <w:rFonts w:cs="David" w:hint="cs"/>
          <w:sz w:val="24"/>
          <w:szCs w:val="24"/>
          <w:rtl/>
        </w:rPr>
        <w:t xml:space="preserve">הישראלי" </w:t>
      </w:r>
      <w:r w:rsidR="00D52A7E" w:rsidRPr="008A34D5">
        <w:rPr>
          <w:rFonts w:cs="David" w:hint="cs"/>
          <w:sz w:val="24"/>
          <w:szCs w:val="24"/>
          <w:rtl/>
        </w:rPr>
        <w:t>חומרי גלם ורכיבים מיובאים</w:t>
      </w:r>
      <w:r w:rsidR="00521053" w:rsidRPr="008A34D5">
        <w:rPr>
          <w:rFonts w:cs="David" w:hint="cs"/>
          <w:sz w:val="24"/>
          <w:szCs w:val="24"/>
          <w:rtl/>
        </w:rPr>
        <w:t>. לעניין זה, גם חומרי גלם מיובאים שעברו עיבוד שהפך אותם למוצר ביניים שמשמש כחומר גלם למוצר הסופי</w:t>
      </w:r>
      <w:r w:rsidR="00D32CEC" w:rsidRPr="008A34D5">
        <w:rPr>
          <w:rFonts w:cs="David" w:hint="cs"/>
          <w:sz w:val="24"/>
          <w:szCs w:val="24"/>
          <w:rtl/>
        </w:rPr>
        <w:t xml:space="preserve"> (תהליך שמכונה "שינוי מהותי כפול")</w:t>
      </w:r>
      <w:r w:rsidR="00521053" w:rsidRPr="008A34D5">
        <w:rPr>
          <w:rFonts w:cs="David" w:hint="cs"/>
          <w:sz w:val="24"/>
          <w:szCs w:val="24"/>
          <w:rtl/>
        </w:rPr>
        <w:t xml:space="preserve">, אינם נחשבים כחלק מהמרכיב </w:t>
      </w:r>
      <w:r w:rsidR="00E5337B" w:rsidRPr="008A34D5">
        <w:rPr>
          <w:rFonts w:cs="David" w:hint="cs"/>
          <w:sz w:val="24"/>
          <w:szCs w:val="24"/>
          <w:rtl/>
        </w:rPr>
        <w:t>"</w:t>
      </w:r>
      <w:r w:rsidR="00521053" w:rsidRPr="008A34D5">
        <w:rPr>
          <w:rFonts w:cs="David" w:hint="cs"/>
          <w:sz w:val="24"/>
          <w:szCs w:val="24"/>
          <w:rtl/>
        </w:rPr>
        <w:t>הישראלי". על פי המוצע, לגבי טובין מאזור עוטף עזה</w:t>
      </w:r>
      <w:r w:rsidR="00E5337B" w:rsidRPr="008A34D5">
        <w:rPr>
          <w:rFonts w:cs="David" w:hint="cs"/>
          <w:sz w:val="24"/>
          <w:szCs w:val="24"/>
          <w:rtl/>
        </w:rPr>
        <w:t xml:space="preserve"> </w:t>
      </w:r>
      <w:r w:rsidR="006261E3" w:rsidRPr="008A34D5">
        <w:rPr>
          <w:rFonts w:cs="David" w:hint="cs"/>
          <w:sz w:val="24"/>
          <w:szCs w:val="24"/>
          <w:rtl/>
        </w:rPr>
        <w:t>חומרי גלם מיובאים שעברו שינוי מהותי כפול ייחשבו</w:t>
      </w:r>
      <w:r w:rsidR="00EE3ECA" w:rsidRPr="008A34D5">
        <w:rPr>
          <w:rFonts w:cs="David" w:hint="cs"/>
          <w:sz w:val="24"/>
          <w:szCs w:val="24"/>
          <w:rtl/>
        </w:rPr>
        <w:t xml:space="preserve"> כחלק מהמרכיב "הישראלי".</w:t>
      </w:r>
      <w:r w:rsidR="006261E3" w:rsidRPr="008A34D5">
        <w:rPr>
          <w:rFonts w:cs="David" w:hint="cs"/>
          <w:sz w:val="24"/>
          <w:szCs w:val="24"/>
          <w:rtl/>
        </w:rPr>
        <w:t xml:space="preserve"> </w:t>
      </w:r>
    </w:p>
    <w:p w:rsidR="005A5051" w:rsidRPr="008A34D5" w:rsidRDefault="005A5051" w:rsidP="00E36C76">
      <w:pPr>
        <w:autoSpaceDE w:val="0"/>
        <w:autoSpaceDN w:val="0"/>
        <w:spacing w:after="60" w:line="360" w:lineRule="auto"/>
        <w:jc w:val="both"/>
        <w:rPr>
          <w:rFonts w:cs="David"/>
          <w:sz w:val="24"/>
          <w:szCs w:val="24"/>
          <w:rtl/>
        </w:rPr>
      </w:pPr>
    </w:p>
    <w:p w:rsidR="007D5853" w:rsidRPr="008A34D5" w:rsidRDefault="007D5853" w:rsidP="008A05B5">
      <w:pPr>
        <w:autoSpaceDE w:val="0"/>
        <w:autoSpaceDN w:val="0"/>
        <w:spacing w:after="120"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8A34D5">
        <w:rPr>
          <w:rFonts w:cs="David" w:hint="cs"/>
          <w:b/>
          <w:bCs/>
          <w:sz w:val="24"/>
          <w:szCs w:val="24"/>
          <w:u w:val="single"/>
          <w:rtl/>
        </w:rPr>
        <w:t>נקודות לדיון</w:t>
      </w:r>
    </w:p>
    <w:p w:rsidR="00706A40" w:rsidRDefault="007D5853" w:rsidP="00102F33">
      <w:pPr>
        <w:autoSpaceDE w:val="0"/>
        <w:autoSpaceDN w:val="0"/>
        <w:spacing w:after="60" w:line="360" w:lineRule="auto"/>
        <w:jc w:val="both"/>
        <w:rPr>
          <w:rFonts w:cs="David"/>
          <w:sz w:val="24"/>
          <w:szCs w:val="24"/>
          <w:rtl/>
        </w:rPr>
      </w:pPr>
      <w:r w:rsidRPr="008A34D5">
        <w:rPr>
          <w:rFonts w:cs="David" w:hint="cs"/>
          <w:b/>
          <w:bCs/>
          <w:sz w:val="24"/>
          <w:szCs w:val="24"/>
          <w:rtl/>
        </w:rPr>
        <w:t>רשימ</w:t>
      </w:r>
      <w:r w:rsidR="002D593A" w:rsidRPr="008A34D5">
        <w:rPr>
          <w:rFonts w:cs="David" w:hint="cs"/>
          <w:b/>
          <w:bCs/>
          <w:sz w:val="24"/>
          <w:szCs w:val="24"/>
          <w:rtl/>
        </w:rPr>
        <w:t xml:space="preserve">ת היישובים הכלולים </w:t>
      </w:r>
      <w:r w:rsidR="00B5774F" w:rsidRPr="008A34D5">
        <w:rPr>
          <w:rFonts w:cs="David" w:hint="cs"/>
          <w:b/>
          <w:bCs/>
          <w:sz w:val="24"/>
          <w:szCs w:val="24"/>
          <w:rtl/>
        </w:rPr>
        <w:t>ב"אזור עוטף עזה"</w:t>
      </w:r>
      <w:r w:rsidRPr="008A34D5">
        <w:rPr>
          <w:rFonts w:cs="David" w:hint="cs"/>
          <w:sz w:val="24"/>
          <w:szCs w:val="24"/>
          <w:rtl/>
        </w:rPr>
        <w:t xml:space="preserve"> </w:t>
      </w:r>
      <w:r w:rsidRPr="008A34D5">
        <w:rPr>
          <w:rFonts w:cs="David"/>
          <w:sz w:val="24"/>
          <w:szCs w:val="24"/>
          <w:rtl/>
        </w:rPr>
        <w:t>–</w:t>
      </w:r>
      <w:r w:rsidRPr="008A34D5">
        <w:rPr>
          <w:rFonts w:cs="David" w:hint="cs"/>
          <w:sz w:val="24"/>
          <w:szCs w:val="24"/>
          <w:rtl/>
        </w:rPr>
        <w:t xml:space="preserve"> </w:t>
      </w:r>
      <w:r w:rsidR="00B5774F" w:rsidRPr="008A34D5">
        <w:rPr>
          <w:rFonts w:cs="David" w:hint="cs"/>
          <w:sz w:val="24"/>
          <w:szCs w:val="24"/>
          <w:rtl/>
        </w:rPr>
        <w:t xml:space="preserve">התיקון המוצע כולל רשימה של 7 אזורים ומתחמים ו-46 יישובים שאותם מוצע להגדיר כ"אזור עוטף עזה". </w:t>
      </w:r>
      <w:r w:rsidR="00B1224D" w:rsidRPr="008A34D5">
        <w:rPr>
          <w:rFonts w:cs="David" w:hint="cs"/>
          <w:sz w:val="24"/>
          <w:szCs w:val="24"/>
          <w:rtl/>
        </w:rPr>
        <w:t xml:space="preserve">מדובר ברשימה שמית של </w:t>
      </w:r>
      <w:r w:rsidR="00B1224D" w:rsidRPr="008A34D5">
        <w:rPr>
          <w:rFonts w:cs="David" w:hint="cs"/>
          <w:sz w:val="24"/>
          <w:szCs w:val="24"/>
          <w:rtl/>
        </w:rPr>
        <w:lastRenderedPageBreak/>
        <w:t>אזורים ויישובים</w:t>
      </w:r>
      <w:r w:rsidR="00A011DB" w:rsidRPr="008A34D5">
        <w:rPr>
          <w:rFonts w:cs="David" w:hint="cs"/>
          <w:sz w:val="24"/>
          <w:szCs w:val="24"/>
          <w:rtl/>
        </w:rPr>
        <w:t xml:space="preserve">, </w:t>
      </w:r>
      <w:r w:rsidR="00B1224D" w:rsidRPr="008A34D5">
        <w:rPr>
          <w:rFonts w:cs="David" w:hint="cs"/>
          <w:sz w:val="24"/>
          <w:szCs w:val="24"/>
          <w:rtl/>
        </w:rPr>
        <w:t>ללא אמת מידה ברורה מדוע נכללו ברשימה זו דווקא יישובים ומתחמים אל</w:t>
      </w:r>
      <w:r w:rsidR="00AA7A24" w:rsidRPr="008A34D5">
        <w:rPr>
          <w:rFonts w:cs="David" w:hint="cs"/>
          <w:sz w:val="24"/>
          <w:szCs w:val="24"/>
          <w:rtl/>
        </w:rPr>
        <w:t>ה</w:t>
      </w:r>
      <w:r w:rsidR="00B1224D" w:rsidRPr="008A34D5">
        <w:rPr>
          <w:rFonts w:cs="David" w:hint="cs"/>
          <w:sz w:val="24"/>
          <w:szCs w:val="24"/>
          <w:rtl/>
        </w:rPr>
        <w:t xml:space="preserve"> ולא אחרים.</w:t>
      </w:r>
      <w:r w:rsidR="005B63D0" w:rsidRPr="008A34D5">
        <w:rPr>
          <w:rFonts w:cs="David" w:hint="cs"/>
          <w:sz w:val="24"/>
          <w:szCs w:val="24"/>
          <w:rtl/>
        </w:rPr>
        <w:t xml:space="preserve"> </w:t>
      </w:r>
      <w:r w:rsidR="005A5051" w:rsidRPr="008A34D5">
        <w:rPr>
          <w:rFonts w:cs="David" w:hint="cs"/>
          <w:sz w:val="24"/>
          <w:szCs w:val="24"/>
          <w:rtl/>
        </w:rPr>
        <w:t xml:space="preserve">ניתן לשער כי </w:t>
      </w:r>
      <w:r w:rsidR="00A011DB" w:rsidRPr="008A34D5">
        <w:rPr>
          <w:rFonts w:cs="David" w:hint="cs"/>
          <w:sz w:val="24"/>
          <w:szCs w:val="24"/>
          <w:rtl/>
        </w:rPr>
        <w:t xml:space="preserve">רשימה זו </w:t>
      </w:r>
      <w:r w:rsidR="005A5051" w:rsidRPr="008A34D5">
        <w:rPr>
          <w:rFonts w:cs="David" w:hint="cs"/>
          <w:sz w:val="24"/>
          <w:szCs w:val="24"/>
          <w:rtl/>
        </w:rPr>
        <w:t>הועתקה מ</w:t>
      </w:r>
      <w:r w:rsidR="00A011DB" w:rsidRPr="008A34D5">
        <w:rPr>
          <w:rFonts w:cs="David" w:hint="cs"/>
          <w:sz w:val="24"/>
          <w:szCs w:val="24"/>
          <w:rtl/>
        </w:rPr>
        <w:t xml:space="preserve">רשימת היישובים שהוגדרו </w:t>
      </w:r>
      <w:r w:rsidR="005A5051" w:rsidRPr="008A34D5">
        <w:rPr>
          <w:rFonts w:cs="David" w:hint="cs"/>
          <w:sz w:val="24"/>
          <w:szCs w:val="24"/>
          <w:rtl/>
        </w:rPr>
        <w:t xml:space="preserve">במהלך השנים, על פי החלטות הממשלה, </w:t>
      </w:r>
      <w:r w:rsidR="00A011DB" w:rsidRPr="008A34D5">
        <w:rPr>
          <w:rFonts w:cs="David" w:hint="cs"/>
          <w:sz w:val="24"/>
          <w:szCs w:val="24"/>
          <w:rtl/>
        </w:rPr>
        <w:t xml:space="preserve">כ"אזורי קו עימות" לעניין תקנות חובת המכרזים </w:t>
      </w:r>
      <w:r w:rsidR="00A011DB" w:rsidRPr="008A34D5">
        <w:rPr>
          <w:rFonts w:cs="David"/>
          <w:sz w:val="24"/>
          <w:szCs w:val="24"/>
          <w:rtl/>
        </w:rPr>
        <w:t>(העדפת תוצרת מאזורי עדיפות לאומית), תשנ"ח</w:t>
      </w:r>
      <w:r w:rsidR="00A011DB" w:rsidRPr="008A34D5">
        <w:rPr>
          <w:rFonts w:cs="David" w:hint="cs"/>
          <w:sz w:val="24"/>
          <w:szCs w:val="24"/>
          <w:rtl/>
        </w:rPr>
        <w:t>-</w:t>
      </w:r>
      <w:r w:rsidR="00A011DB" w:rsidRPr="008A34D5">
        <w:rPr>
          <w:rFonts w:cs="David"/>
          <w:sz w:val="24"/>
          <w:szCs w:val="24"/>
          <w:rtl/>
        </w:rPr>
        <w:t>1998</w:t>
      </w:r>
      <w:r w:rsidR="005A5051" w:rsidRPr="008A34D5">
        <w:rPr>
          <w:rFonts w:cs="David" w:hint="cs"/>
          <w:sz w:val="24"/>
          <w:szCs w:val="24"/>
          <w:rtl/>
        </w:rPr>
        <w:t xml:space="preserve">. ואולם, במסגרת החלטות </w:t>
      </w:r>
      <w:r w:rsidR="00942CDD" w:rsidRPr="008A34D5">
        <w:rPr>
          <w:rFonts w:cs="David" w:hint="cs"/>
          <w:sz w:val="24"/>
          <w:szCs w:val="24"/>
          <w:rtl/>
        </w:rPr>
        <w:t>ממשלה אלה</w:t>
      </w:r>
      <w:r w:rsidR="005B63D0" w:rsidRPr="008A34D5">
        <w:rPr>
          <w:rFonts w:cs="David" w:hint="cs"/>
          <w:sz w:val="24"/>
          <w:szCs w:val="24"/>
          <w:rtl/>
        </w:rPr>
        <w:t xml:space="preserve">, נוסף על רשימה שמית של היישובים הרלוונטיים, </w:t>
      </w:r>
      <w:r w:rsidR="00942CDD" w:rsidRPr="008A34D5">
        <w:rPr>
          <w:rFonts w:cs="David" w:hint="cs"/>
          <w:sz w:val="24"/>
          <w:szCs w:val="24"/>
          <w:rtl/>
        </w:rPr>
        <w:t xml:space="preserve">נקבע קריטריון </w:t>
      </w:r>
      <w:r w:rsidR="005B63D0" w:rsidRPr="008A34D5">
        <w:rPr>
          <w:rFonts w:cs="David" w:hint="cs"/>
          <w:sz w:val="24"/>
          <w:szCs w:val="24"/>
          <w:rtl/>
        </w:rPr>
        <w:t xml:space="preserve">ברור יותר שדיבר על </w:t>
      </w:r>
      <w:r w:rsidR="00A36ECE" w:rsidRPr="008A34D5">
        <w:rPr>
          <w:rFonts w:cs="David" w:hint="cs"/>
          <w:sz w:val="24"/>
          <w:szCs w:val="24"/>
          <w:rtl/>
        </w:rPr>
        <w:t>"שטחי יישובי עוטף עזה, בטווח של עד 7 ק"מ מגדר המערכת המקיפה את רצועת עזה"</w:t>
      </w:r>
      <w:r w:rsidR="00A36ECE" w:rsidRPr="008A34D5">
        <w:rPr>
          <w:rStyle w:val="a5"/>
          <w:rFonts w:cs="David"/>
          <w:sz w:val="24"/>
          <w:szCs w:val="24"/>
          <w:rtl/>
        </w:rPr>
        <w:footnoteReference w:id="1"/>
      </w:r>
      <w:r w:rsidR="00A36ECE" w:rsidRPr="008A34D5">
        <w:rPr>
          <w:rFonts w:cs="David" w:hint="cs"/>
          <w:sz w:val="24"/>
          <w:szCs w:val="24"/>
          <w:rtl/>
        </w:rPr>
        <w:t xml:space="preserve">. </w:t>
      </w:r>
      <w:r w:rsidR="00706A40">
        <w:rPr>
          <w:rFonts w:cs="David" w:hint="cs"/>
          <w:sz w:val="24"/>
          <w:szCs w:val="24"/>
          <w:rtl/>
        </w:rPr>
        <w:t xml:space="preserve">בהקשר זה יוער, כי בית המשפט העליון קבע בעבר </w:t>
      </w:r>
      <w:r w:rsidR="00262B59">
        <w:rPr>
          <w:rFonts w:cs="David" w:hint="cs"/>
          <w:sz w:val="24"/>
          <w:szCs w:val="24"/>
          <w:rtl/>
        </w:rPr>
        <w:t>ש</w:t>
      </w:r>
      <w:r w:rsidR="00706A40">
        <w:rPr>
          <w:rFonts w:cs="David" w:hint="cs"/>
          <w:sz w:val="24"/>
          <w:szCs w:val="24"/>
          <w:rtl/>
        </w:rPr>
        <w:t xml:space="preserve">קביעת רשימה פרטנית של יישובים </w:t>
      </w:r>
      <w:r w:rsidR="00F862E0">
        <w:rPr>
          <w:rFonts w:cs="David" w:hint="cs"/>
          <w:sz w:val="24"/>
          <w:szCs w:val="24"/>
          <w:rtl/>
        </w:rPr>
        <w:t>(</w:t>
      </w:r>
      <w:r w:rsidR="00706A40">
        <w:rPr>
          <w:rFonts w:cs="David" w:hint="cs"/>
          <w:sz w:val="24"/>
          <w:szCs w:val="24"/>
          <w:rtl/>
        </w:rPr>
        <w:t xml:space="preserve">לעניין הטבות </w:t>
      </w:r>
      <w:r w:rsidR="004413B9">
        <w:rPr>
          <w:rFonts w:cs="David" w:hint="cs"/>
          <w:sz w:val="24"/>
          <w:szCs w:val="24"/>
          <w:rtl/>
        </w:rPr>
        <w:t xml:space="preserve">מס </w:t>
      </w:r>
      <w:r w:rsidR="00706A40">
        <w:rPr>
          <w:rFonts w:cs="David" w:hint="cs"/>
          <w:sz w:val="24"/>
          <w:szCs w:val="24"/>
          <w:rtl/>
        </w:rPr>
        <w:t>שהמדינה מעניקה</w:t>
      </w:r>
      <w:r w:rsidR="00F862E0">
        <w:rPr>
          <w:rFonts w:cs="David" w:hint="cs"/>
          <w:sz w:val="24"/>
          <w:szCs w:val="24"/>
          <w:rtl/>
        </w:rPr>
        <w:t>)</w:t>
      </w:r>
      <w:r w:rsidR="00706A40">
        <w:rPr>
          <w:rFonts w:cs="David" w:hint="cs"/>
          <w:sz w:val="24"/>
          <w:szCs w:val="24"/>
          <w:rtl/>
        </w:rPr>
        <w:t xml:space="preserve">, מבלי שנקבעו אמות מידה ברורות, גלויות ושוויוניות שעל פיהם </w:t>
      </w:r>
      <w:r w:rsidR="00F5337F">
        <w:rPr>
          <w:rFonts w:cs="David" w:hint="cs"/>
          <w:sz w:val="24"/>
          <w:szCs w:val="24"/>
          <w:rtl/>
        </w:rPr>
        <w:t xml:space="preserve">מוגדרים תנאי הזכאות והיקפם </w:t>
      </w:r>
      <w:r w:rsidR="00F5337F">
        <w:rPr>
          <w:rFonts w:cs="David"/>
          <w:sz w:val="24"/>
          <w:szCs w:val="24"/>
          <w:rtl/>
        </w:rPr>
        <w:t>–</w:t>
      </w:r>
      <w:r w:rsidR="00F5337F">
        <w:rPr>
          <w:rFonts w:cs="David" w:hint="cs"/>
          <w:sz w:val="24"/>
          <w:szCs w:val="24"/>
          <w:rtl/>
        </w:rPr>
        <w:t xml:space="preserve"> </w:t>
      </w:r>
      <w:r w:rsidR="004413B9">
        <w:rPr>
          <w:rFonts w:cs="David" w:hint="cs"/>
          <w:sz w:val="24"/>
          <w:szCs w:val="24"/>
          <w:rtl/>
        </w:rPr>
        <w:t xml:space="preserve">היא בעייתית ועלולה </w:t>
      </w:r>
      <w:r w:rsidR="00F5337F">
        <w:rPr>
          <w:rFonts w:cs="David" w:hint="cs"/>
          <w:sz w:val="24"/>
          <w:szCs w:val="24"/>
          <w:rtl/>
        </w:rPr>
        <w:t>לפגוע בשוויון</w:t>
      </w:r>
      <w:r w:rsidR="004413B9">
        <w:rPr>
          <w:rFonts w:cs="David" w:hint="cs"/>
          <w:sz w:val="24"/>
          <w:szCs w:val="24"/>
          <w:rtl/>
        </w:rPr>
        <w:t xml:space="preserve"> החוקתי</w:t>
      </w:r>
      <w:r w:rsidR="004413B9" w:rsidRPr="004413B9">
        <w:rPr>
          <w:rStyle w:val="a5"/>
          <w:rFonts w:cs="David"/>
          <w:sz w:val="24"/>
          <w:szCs w:val="24"/>
          <w:rtl/>
        </w:rPr>
        <w:footnoteReference w:id="2"/>
      </w:r>
      <w:r w:rsidR="00F5337F">
        <w:rPr>
          <w:rFonts w:cs="David" w:hint="cs"/>
          <w:sz w:val="24"/>
          <w:szCs w:val="24"/>
          <w:rtl/>
        </w:rPr>
        <w:t>.</w:t>
      </w:r>
    </w:p>
    <w:p w:rsidR="00A011DB" w:rsidRDefault="005B63D0" w:rsidP="00F34410">
      <w:pPr>
        <w:autoSpaceDE w:val="0"/>
        <w:autoSpaceDN w:val="0"/>
        <w:spacing w:after="60" w:line="360" w:lineRule="auto"/>
        <w:jc w:val="both"/>
        <w:rPr>
          <w:rFonts w:cs="David"/>
          <w:sz w:val="24"/>
          <w:szCs w:val="24"/>
          <w:rtl/>
        </w:rPr>
      </w:pPr>
      <w:r w:rsidRPr="008A34D5">
        <w:rPr>
          <w:rFonts w:cs="David" w:hint="cs"/>
          <w:sz w:val="24"/>
          <w:szCs w:val="24"/>
          <w:rtl/>
        </w:rPr>
        <w:t>לנוכח האמור</w:t>
      </w:r>
      <w:r w:rsidR="00AA7A24" w:rsidRPr="008A34D5">
        <w:rPr>
          <w:rFonts w:cs="David" w:hint="cs"/>
          <w:sz w:val="24"/>
          <w:szCs w:val="24"/>
          <w:rtl/>
        </w:rPr>
        <w:t>,</w:t>
      </w:r>
      <w:r w:rsidRPr="008A34D5">
        <w:rPr>
          <w:rFonts w:cs="David" w:hint="cs"/>
          <w:sz w:val="24"/>
          <w:szCs w:val="24"/>
          <w:rtl/>
        </w:rPr>
        <w:t xml:space="preserve"> </w:t>
      </w:r>
      <w:r w:rsidR="00F34410" w:rsidRPr="008A34D5">
        <w:rPr>
          <w:rFonts w:cs="David" w:hint="cs"/>
          <w:sz w:val="24"/>
          <w:szCs w:val="24"/>
          <w:rtl/>
        </w:rPr>
        <w:t xml:space="preserve">האם אין </w:t>
      </w:r>
      <w:r w:rsidRPr="008A34D5">
        <w:rPr>
          <w:rFonts w:cs="David" w:hint="cs"/>
          <w:sz w:val="24"/>
          <w:szCs w:val="24"/>
          <w:rtl/>
        </w:rPr>
        <w:t>מקום לקבוע אמת מידה ברורה גם בתקנות המוצעות</w:t>
      </w:r>
      <w:r w:rsidR="00F34410" w:rsidRPr="008A34D5">
        <w:rPr>
          <w:rFonts w:cs="David" w:hint="cs"/>
          <w:sz w:val="24"/>
          <w:szCs w:val="24"/>
          <w:rtl/>
        </w:rPr>
        <w:t>?</w:t>
      </w:r>
      <w:r w:rsidRPr="008A34D5">
        <w:rPr>
          <w:rFonts w:cs="David" w:hint="cs"/>
          <w:sz w:val="24"/>
          <w:szCs w:val="24"/>
          <w:rtl/>
        </w:rPr>
        <w:t xml:space="preserve"> </w:t>
      </w:r>
    </w:p>
    <w:sectPr w:rsidR="00A011DB" w:rsidSect="00117D9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034" w:rsidRDefault="00324034" w:rsidP="00324034">
      <w:pPr>
        <w:spacing w:after="0" w:line="240" w:lineRule="auto"/>
      </w:pPr>
      <w:r>
        <w:separator/>
      </w:r>
    </w:p>
  </w:endnote>
  <w:endnote w:type="continuationSeparator" w:id="0">
    <w:p w:rsidR="00324034" w:rsidRDefault="00324034" w:rsidP="0032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034" w:rsidRDefault="00324034" w:rsidP="00324034">
      <w:pPr>
        <w:spacing w:after="0" w:line="240" w:lineRule="auto"/>
      </w:pPr>
      <w:r>
        <w:separator/>
      </w:r>
    </w:p>
  </w:footnote>
  <w:footnote w:type="continuationSeparator" w:id="0">
    <w:p w:rsidR="00324034" w:rsidRDefault="00324034" w:rsidP="00324034">
      <w:pPr>
        <w:spacing w:after="0" w:line="240" w:lineRule="auto"/>
      </w:pPr>
      <w:r>
        <w:continuationSeparator/>
      </w:r>
    </w:p>
  </w:footnote>
  <w:footnote w:id="1">
    <w:p w:rsidR="00A36ECE" w:rsidRDefault="00A36ECE" w:rsidP="00A36ECE">
      <w:pPr>
        <w:pStyle w:val="a3"/>
        <w:spacing w:line="240" w:lineRule="auto"/>
        <w:rPr>
          <w:rtl/>
        </w:rPr>
      </w:pPr>
      <w:r>
        <w:rPr>
          <w:rStyle w:val="a5"/>
        </w:rPr>
        <w:footnoteRef/>
      </w:r>
      <w:r>
        <w:rPr>
          <w:rFonts w:hint="cs"/>
          <w:rtl/>
        </w:rPr>
        <w:t xml:space="preserve"> </w:t>
      </w:r>
      <w:r w:rsidRPr="00A36ECE">
        <w:rPr>
          <w:rFonts w:cs="David" w:hint="cs"/>
          <w:rtl/>
        </w:rPr>
        <w:t xml:space="preserve">פסקה (1) להודעה בדבר קביעת אזורי עדיפות לאומית לפי חוק חובת המכרזים, התשנ"ב-1992, שפורסמה ביום י"ד בסיוון </w:t>
      </w:r>
      <w:proofErr w:type="spellStart"/>
      <w:r w:rsidRPr="00A36ECE">
        <w:rPr>
          <w:rFonts w:cs="David" w:hint="cs"/>
          <w:rtl/>
        </w:rPr>
        <w:t>התשע"ד</w:t>
      </w:r>
      <w:proofErr w:type="spellEnd"/>
      <w:r w:rsidRPr="00A36ECE">
        <w:rPr>
          <w:rFonts w:cs="David" w:hint="cs"/>
          <w:rtl/>
        </w:rPr>
        <w:t xml:space="preserve"> (12 ביוני 2014).</w:t>
      </w:r>
    </w:p>
  </w:footnote>
  <w:footnote w:id="2">
    <w:p w:rsidR="004413B9" w:rsidRDefault="004413B9" w:rsidP="004413B9">
      <w:pPr>
        <w:pStyle w:val="a3"/>
        <w:spacing w:line="240" w:lineRule="auto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 w:rsidRPr="004413B9">
        <w:rPr>
          <w:rFonts w:ascii="Ravie" w:hAnsi="Ravie" w:cs="David"/>
          <w:color w:val="000000"/>
          <w:rtl/>
        </w:rPr>
        <w:t xml:space="preserve">בגץ 8300/02 </w:t>
      </w:r>
      <w:proofErr w:type="spellStart"/>
      <w:r w:rsidRPr="004413B9">
        <w:rPr>
          <w:rFonts w:ascii="Ravie" w:hAnsi="Ravie" w:cs="David"/>
          <w:b/>
          <w:bCs/>
          <w:color w:val="000000"/>
          <w:rtl/>
        </w:rPr>
        <w:t>גדבאן</w:t>
      </w:r>
      <w:proofErr w:type="spellEnd"/>
      <w:r w:rsidRPr="004413B9">
        <w:rPr>
          <w:rFonts w:ascii="Ravie" w:hAnsi="Ravie" w:cs="David"/>
          <w:b/>
          <w:bCs/>
          <w:color w:val="000000"/>
          <w:rtl/>
        </w:rPr>
        <w:t xml:space="preserve"> נסר נ' ממשלת ישראל</w:t>
      </w:r>
      <w:r w:rsidRPr="004413B9">
        <w:rPr>
          <w:rFonts w:ascii="Ravie" w:hAnsi="Ravie" w:cs="David"/>
          <w:color w:val="000000"/>
          <w:rtl/>
        </w:rPr>
        <w:t xml:space="preserve"> (2012).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3D"/>
    <w:rsid w:val="00003424"/>
    <w:rsid w:val="00077B8F"/>
    <w:rsid w:val="00083EA4"/>
    <w:rsid w:val="000B5D23"/>
    <w:rsid w:val="000F0A0D"/>
    <w:rsid w:val="000F6F7C"/>
    <w:rsid w:val="001004C7"/>
    <w:rsid w:val="00102F33"/>
    <w:rsid w:val="00117D9B"/>
    <w:rsid w:val="0013699E"/>
    <w:rsid w:val="001731C1"/>
    <w:rsid w:val="001D05B1"/>
    <w:rsid w:val="00205CB2"/>
    <w:rsid w:val="00233DD3"/>
    <w:rsid w:val="00262B59"/>
    <w:rsid w:val="002B754F"/>
    <w:rsid w:val="002D593A"/>
    <w:rsid w:val="00324034"/>
    <w:rsid w:val="003276DB"/>
    <w:rsid w:val="003776B9"/>
    <w:rsid w:val="003C2186"/>
    <w:rsid w:val="003D3E7B"/>
    <w:rsid w:val="003E115E"/>
    <w:rsid w:val="003E2328"/>
    <w:rsid w:val="004413B9"/>
    <w:rsid w:val="00460163"/>
    <w:rsid w:val="0047549E"/>
    <w:rsid w:val="004917AA"/>
    <w:rsid w:val="004B14D7"/>
    <w:rsid w:val="004B326B"/>
    <w:rsid w:val="004B5F04"/>
    <w:rsid w:val="00500F17"/>
    <w:rsid w:val="005152AA"/>
    <w:rsid w:val="00520B3B"/>
    <w:rsid w:val="00521053"/>
    <w:rsid w:val="0053698D"/>
    <w:rsid w:val="005A5051"/>
    <w:rsid w:val="005B63D0"/>
    <w:rsid w:val="00620DE4"/>
    <w:rsid w:val="006261E3"/>
    <w:rsid w:val="00706A40"/>
    <w:rsid w:val="007C74FB"/>
    <w:rsid w:val="007D5853"/>
    <w:rsid w:val="008A05B5"/>
    <w:rsid w:val="008A34D5"/>
    <w:rsid w:val="008B0F4A"/>
    <w:rsid w:val="009328C7"/>
    <w:rsid w:val="00937C3D"/>
    <w:rsid w:val="00942CDD"/>
    <w:rsid w:val="00A011DB"/>
    <w:rsid w:val="00A36ECE"/>
    <w:rsid w:val="00AA7A24"/>
    <w:rsid w:val="00AF5492"/>
    <w:rsid w:val="00B1224D"/>
    <w:rsid w:val="00B5774F"/>
    <w:rsid w:val="00BD0B05"/>
    <w:rsid w:val="00CA7287"/>
    <w:rsid w:val="00D32CEC"/>
    <w:rsid w:val="00D52A7E"/>
    <w:rsid w:val="00D85130"/>
    <w:rsid w:val="00E36C76"/>
    <w:rsid w:val="00E5337B"/>
    <w:rsid w:val="00EE3ECA"/>
    <w:rsid w:val="00EE5FC6"/>
    <w:rsid w:val="00EF6F22"/>
    <w:rsid w:val="00F01F12"/>
    <w:rsid w:val="00F237E1"/>
    <w:rsid w:val="00F34410"/>
    <w:rsid w:val="00F5337F"/>
    <w:rsid w:val="00F7376B"/>
    <w:rsid w:val="00F8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0">
    <w:name w:val="P00"/>
    <w:rsid w:val="00324034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P22">
    <w:name w:val="P22"/>
    <w:basedOn w:val="P00"/>
    <w:rsid w:val="00324034"/>
    <w:pPr>
      <w:tabs>
        <w:tab w:val="clear" w:pos="624"/>
        <w:tab w:val="clear" w:pos="1021"/>
      </w:tabs>
      <w:ind w:right="1021"/>
    </w:pPr>
  </w:style>
  <w:style w:type="character" w:customStyle="1" w:styleId="default">
    <w:name w:val="default"/>
    <w:rsid w:val="00324034"/>
    <w:rPr>
      <w:rFonts w:ascii="Times New Roman" w:hAnsi="Times New Roman" w:cs="Times New Roman"/>
      <w:sz w:val="26"/>
      <w:szCs w:val="26"/>
    </w:rPr>
  </w:style>
  <w:style w:type="character" w:customStyle="1" w:styleId="big-number">
    <w:name w:val="big-number"/>
    <w:rsid w:val="00324034"/>
    <w:rPr>
      <w:rFonts w:ascii="Times New Roman" w:hAnsi="Times New Roman" w:cs="Times New Roman"/>
      <w:sz w:val="32"/>
      <w:szCs w:val="32"/>
    </w:rPr>
  </w:style>
  <w:style w:type="paragraph" w:styleId="a3">
    <w:name w:val="footnote text"/>
    <w:basedOn w:val="a"/>
    <w:link w:val="a4"/>
    <w:semiHidden/>
    <w:rsid w:val="00324034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a4">
    <w:name w:val="טקסט הערת שוליים תו"/>
    <w:basedOn w:val="a0"/>
    <w:link w:val="a3"/>
    <w:semiHidden/>
    <w:rsid w:val="00324034"/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styleId="a5">
    <w:name w:val="footnote reference"/>
    <w:semiHidden/>
    <w:rsid w:val="00324034"/>
    <w:rPr>
      <w:rFonts w:ascii="Times New Roman" w:hAnsi="Times New Roman" w:cs="Times New Roman"/>
      <w:vertAlign w:val="superscript"/>
    </w:rPr>
  </w:style>
  <w:style w:type="paragraph" w:customStyle="1" w:styleId="medium2-header">
    <w:name w:val="medium2-header"/>
    <w:basedOn w:val="a"/>
    <w:rsid w:val="00EF6F22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240" w:after="0" w:line="240" w:lineRule="auto"/>
      <w:ind w:left="2835"/>
      <w:jc w:val="center"/>
    </w:pPr>
    <w:rPr>
      <w:rFonts w:ascii="Times New Roman" w:eastAsia="Times New Roman" w:hAnsi="Times New Roman" w:cs="Times New Roman"/>
      <w:bCs/>
      <w:sz w:val="24"/>
      <w:szCs w:val="24"/>
      <w:lang w:eastAsia="he-IL"/>
    </w:rPr>
  </w:style>
  <w:style w:type="character" w:styleId="Hyperlink">
    <w:name w:val="Hyperlink"/>
    <w:rsid w:val="00EF6F2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004C7"/>
    <w:pPr>
      <w:ind w:left="720"/>
      <w:contextualSpacing/>
    </w:pPr>
  </w:style>
  <w:style w:type="paragraph" w:customStyle="1" w:styleId="big-header">
    <w:name w:val="big-header"/>
    <w:basedOn w:val="a"/>
    <w:rsid w:val="00A011DB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 w:line="240" w:lineRule="auto"/>
      <w:ind w:left="2835"/>
      <w:jc w:val="center"/>
    </w:pPr>
    <w:rPr>
      <w:rFonts w:ascii="Times New Roman" w:eastAsia="Times New Roman" w:hAnsi="Times New Roman" w:cs="Times New Roman"/>
      <w:noProof/>
      <w:sz w:val="20"/>
      <w:szCs w:val="32"/>
      <w:lang w:eastAsia="he-IL"/>
    </w:rPr>
  </w:style>
  <w:style w:type="paragraph" w:styleId="a7">
    <w:name w:val="header"/>
    <w:basedOn w:val="a"/>
    <w:link w:val="a8"/>
    <w:rsid w:val="00706A4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character" w:customStyle="1" w:styleId="a8">
    <w:name w:val="כותרת עליונה תו"/>
    <w:basedOn w:val="a0"/>
    <w:link w:val="a7"/>
    <w:rsid w:val="00706A40"/>
    <w:rPr>
      <w:rFonts w:ascii="Times New Roman" w:eastAsia="Times New Roman" w:hAnsi="Times New Roman" w:cs="David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0">
    <w:name w:val="P00"/>
    <w:rsid w:val="00324034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paragraph" w:customStyle="1" w:styleId="P22">
    <w:name w:val="P22"/>
    <w:basedOn w:val="P00"/>
    <w:rsid w:val="00324034"/>
    <w:pPr>
      <w:tabs>
        <w:tab w:val="clear" w:pos="624"/>
        <w:tab w:val="clear" w:pos="1021"/>
      </w:tabs>
      <w:ind w:right="1021"/>
    </w:pPr>
  </w:style>
  <w:style w:type="character" w:customStyle="1" w:styleId="default">
    <w:name w:val="default"/>
    <w:rsid w:val="00324034"/>
    <w:rPr>
      <w:rFonts w:ascii="Times New Roman" w:hAnsi="Times New Roman" w:cs="Times New Roman"/>
      <w:sz w:val="26"/>
      <w:szCs w:val="26"/>
    </w:rPr>
  </w:style>
  <w:style w:type="character" w:customStyle="1" w:styleId="big-number">
    <w:name w:val="big-number"/>
    <w:rsid w:val="00324034"/>
    <w:rPr>
      <w:rFonts w:ascii="Times New Roman" w:hAnsi="Times New Roman" w:cs="Times New Roman"/>
      <w:sz w:val="32"/>
      <w:szCs w:val="32"/>
    </w:rPr>
  </w:style>
  <w:style w:type="paragraph" w:styleId="a3">
    <w:name w:val="footnote text"/>
    <w:basedOn w:val="a"/>
    <w:link w:val="a4"/>
    <w:semiHidden/>
    <w:rsid w:val="00324034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a4">
    <w:name w:val="טקסט הערת שוליים תו"/>
    <w:basedOn w:val="a0"/>
    <w:link w:val="a3"/>
    <w:semiHidden/>
    <w:rsid w:val="00324034"/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styleId="a5">
    <w:name w:val="footnote reference"/>
    <w:semiHidden/>
    <w:rsid w:val="00324034"/>
    <w:rPr>
      <w:rFonts w:ascii="Times New Roman" w:hAnsi="Times New Roman" w:cs="Times New Roman"/>
      <w:vertAlign w:val="superscript"/>
    </w:rPr>
  </w:style>
  <w:style w:type="paragraph" w:customStyle="1" w:styleId="medium2-header">
    <w:name w:val="medium2-header"/>
    <w:basedOn w:val="a"/>
    <w:rsid w:val="00EF6F22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240" w:after="0" w:line="240" w:lineRule="auto"/>
      <w:ind w:left="2835"/>
      <w:jc w:val="center"/>
    </w:pPr>
    <w:rPr>
      <w:rFonts w:ascii="Times New Roman" w:eastAsia="Times New Roman" w:hAnsi="Times New Roman" w:cs="Times New Roman"/>
      <w:bCs/>
      <w:sz w:val="24"/>
      <w:szCs w:val="24"/>
      <w:lang w:eastAsia="he-IL"/>
    </w:rPr>
  </w:style>
  <w:style w:type="character" w:styleId="Hyperlink">
    <w:name w:val="Hyperlink"/>
    <w:rsid w:val="00EF6F2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004C7"/>
    <w:pPr>
      <w:ind w:left="720"/>
      <w:contextualSpacing/>
    </w:pPr>
  </w:style>
  <w:style w:type="paragraph" w:customStyle="1" w:styleId="big-header">
    <w:name w:val="big-header"/>
    <w:basedOn w:val="a"/>
    <w:rsid w:val="00A011DB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 w:line="240" w:lineRule="auto"/>
      <w:ind w:left="2835"/>
      <w:jc w:val="center"/>
    </w:pPr>
    <w:rPr>
      <w:rFonts w:ascii="Times New Roman" w:eastAsia="Times New Roman" w:hAnsi="Times New Roman" w:cs="Times New Roman"/>
      <w:noProof/>
      <w:sz w:val="20"/>
      <w:szCs w:val="32"/>
      <w:lang w:eastAsia="he-IL"/>
    </w:rPr>
  </w:style>
  <w:style w:type="paragraph" w:styleId="a7">
    <w:name w:val="header"/>
    <w:basedOn w:val="a"/>
    <w:link w:val="a8"/>
    <w:rsid w:val="00706A4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character" w:customStyle="1" w:styleId="a8">
    <w:name w:val="כותרת עליונה תו"/>
    <w:basedOn w:val="a0"/>
    <w:link w:val="a7"/>
    <w:rsid w:val="00706A40"/>
    <w:rPr>
      <w:rFonts w:ascii="Times New Roman" w:eastAsia="Times New Roman" w:hAnsi="Times New Roman" w:cs="David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Knesset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אלעזר שטרן</dc:creator>
  <cp:lastModifiedBy>אלעזר שטרן</cp:lastModifiedBy>
  <cp:revision>11</cp:revision>
  <dcterms:created xsi:type="dcterms:W3CDTF">2015-06-04T10:42:00Z</dcterms:created>
  <dcterms:modified xsi:type="dcterms:W3CDTF">2015-06-04T10:54:00Z</dcterms:modified>
</cp:coreProperties>
</file>